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40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4786"/>
      </w:tblGrid>
      <w:tr w:rsidR="00A320BE" w:rsidRPr="00247043" w:rsidTr="00A320BE">
        <w:trPr>
          <w:trHeight w:val="1625"/>
        </w:trPr>
        <w:tc>
          <w:tcPr>
            <w:tcW w:w="5508" w:type="dxa"/>
            <w:hideMark/>
          </w:tcPr>
          <w:p w:rsidR="00A320BE" w:rsidRPr="00247043" w:rsidRDefault="00A320BE">
            <w:pPr>
              <w:ind w:right="623"/>
              <w:jc w:val="center"/>
              <w:rPr>
                <w:b/>
                <w:bCs/>
                <w:sz w:val="28"/>
                <w:szCs w:val="28"/>
              </w:rPr>
            </w:pPr>
            <w:r w:rsidRPr="00247043">
              <w:rPr>
                <w:b/>
                <w:bCs/>
                <w:sz w:val="28"/>
                <w:szCs w:val="28"/>
              </w:rPr>
              <w:t xml:space="preserve">  СОВЕТ ДЕПУТАТОВ</w:t>
            </w:r>
          </w:p>
          <w:p w:rsidR="00A320BE" w:rsidRPr="00247043" w:rsidRDefault="00A320BE">
            <w:pPr>
              <w:ind w:right="62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47043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A320BE" w:rsidRPr="00247043" w:rsidRDefault="00A320BE">
            <w:pPr>
              <w:ind w:right="623"/>
              <w:jc w:val="center"/>
              <w:rPr>
                <w:b/>
                <w:bCs/>
                <w:sz w:val="28"/>
                <w:szCs w:val="28"/>
              </w:rPr>
            </w:pPr>
            <w:r w:rsidRPr="00247043">
              <w:rPr>
                <w:b/>
                <w:bCs/>
                <w:sz w:val="28"/>
                <w:szCs w:val="28"/>
              </w:rPr>
              <w:t>ОБРАЗОВАНИЯ</w:t>
            </w:r>
          </w:p>
          <w:p w:rsidR="00A320BE" w:rsidRPr="00247043" w:rsidRDefault="00A320BE">
            <w:pPr>
              <w:ind w:right="623"/>
              <w:jc w:val="center"/>
              <w:rPr>
                <w:b/>
                <w:bCs/>
                <w:sz w:val="28"/>
                <w:szCs w:val="28"/>
              </w:rPr>
            </w:pPr>
            <w:r w:rsidRPr="00247043">
              <w:rPr>
                <w:b/>
                <w:bCs/>
                <w:sz w:val="28"/>
                <w:szCs w:val="28"/>
              </w:rPr>
              <w:t>ЧАПАЕВСКИЙ СЕЛЬСОВЕТ</w:t>
            </w:r>
          </w:p>
          <w:p w:rsidR="00A320BE" w:rsidRPr="00247043" w:rsidRDefault="00A320BE">
            <w:pPr>
              <w:tabs>
                <w:tab w:val="left" w:pos="-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47043">
              <w:rPr>
                <w:b/>
                <w:sz w:val="28"/>
                <w:szCs w:val="28"/>
              </w:rPr>
              <w:t>НОВООРСКОГО РАЙОНА</w:t>
            </w:r>
          </w:p>
          <w:p w:rsidR="00A320BE" w:rsidRPr="00247043" w:rsidRDefault="00A320BE">
            <w:pPr>
              <w:tabs>
                <w:tab w:val="left" w:pos="-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47043">
              <w:rPr>
                <w:b/>
                <w:sz w:val="28"/>
                <w:szCs w:val="28"/>
              </w:rPr>
              <w:t>ОРЕНБУРГСКОЙ ОБЛАСТИ</w:t>
            </w:r>
          </w:p>
          <w:p w:rsidR="00A320BE" w:rsidRPr="00247043" w:rsidRDefault="00A320BE">
            <w:pPr>
              <w:tabs>
                <w:tab w:val="left" w:pos="-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47043">
              <w:rPr>
                <w:b/>
                <w:sz w:val="28"/>
                <w:szCs w:val="28"/>
              </w:rPr>
              <w:t>ВТОРОЙ СОЗЫВ</w:t>
            </w:r>
          </w:p>
          <w:p w:rsidR="00A320BE" w:rsidRPr="00247043" w:rsidRDefault="00A320BE">
            <w:pPr>
              <w:tabs>
                <w:tab w:val="left" w:pos="-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z w:val="28"/>
                <w:szCs w:val="28"/>
              </w:rPr>
            </w:pPr>
            <w:r w:rsidRPr="00247043">
              <w:rPr>
                <w:b/>
                <w:sz w:val="28"/>
                <w:szCs w:val="28"/>
              </w:rPr>
              <w:t xml:space="preserve">                    </w:t>
            </w:r>
          </w:p>
          <w:p w:rsidR="00A320BE" w:rsidRPr="00247043" w:rsidRDefault="005A1511" w:rsidP="005A1511">
            <w:pPr>
              <w:tabs>
                <w:tab w:val="left" w:pos="-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A320BE" w:rsidRPr="00247043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hideMark/>
          </w:tcPr>
          <w:p w:rsidR="00A320BE" w:rsidRPr="00247043" w:rsidRDefault="00A320BE">
            <w:pPr>
              <w:jc w:val="both"/>
              <w:rPr>
                <w:b/>
                <w:bCs/>
                <w:sz w:val="28"/>
                <w:szCs w:val="28"/>
              </w:rPr>
            </w:pPr>
            <w:r w:rsidRPr="00247043"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A320BE" w:rsidRPr="00247043" w:rsidRDefault="00A320BE">
            <w:pPr>
              <w:jc w:val="both"/>
              <w:rPr>
                <w:bCs/>
                <w:sz w:val="28"/>
                <w:szCs w:val="28"/>
              </w:rPr>
            </w:pPr>
            <w:r w:rsidRPr="00247043">
              <w:rPr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 w:rsidR="00A320BE" w:rsidRPr="00247043" w:rsidTr="00A320BE">
        <w:trPr>
          <w:trHeight w:val="637"/>
        </w:trPr>
        <w:tc>
          <w:tcPr>
            <w:tcW w:w="5508" w:type="dxa"/>
          </w:tcPr>
          <w:p w:rsidR="00A320BE" w:rsidRPr="00247043" w:rsidRDefault="005A1511" w:rsidP="005A15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A320BE" w:rsidRPr="00247043">
              <w:rPr>
                <w:b/>
                <w:bCs/>
                <w:sz w:val="28"/>
                <w:szCs w:val="28"/>
              </w:rPr>
              <w:t xml:space="preserve">от  20 мая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A320BE" w:rsidRPr="00247043">
                <w:rPr>
                  <w:b/>
                  <w:bCs/>
                  <w:sz w:val="28"/>
                  <w:szCs w:val="28"/>
                </w:rPr>
                <w:t>2011 г</w:t>
              </w:r>
              <w:r w:rsidR="00247043">
                <w:rPr>
                  <w:b/>
                  <w:bCs/>
                  <w:sz w:val="28"/>
                  <w:szCs w:val="28"/>
                </w:rPr>
                <w:t xml:space="preserve">ода </w:t>
              </w:r>
            </w:smartTag>
            <w:r w:rsidR="00A320BE" w:rsidRPr="00247043">
              <w:rPr>
                <w:b/>
                <w:bCs/>
                <w:sz w:val="28"/>
                <w:szCs w:val="28"/>
              </w:rPr>
              <w:t xml:space="preserve"> № 43   </w:t>
            </w:r>
          </w:p>
          <w:p w:rsidR="00A320BE" w:rsidRPr="00247043" w:rsidRDefault="00A320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320BE" w:rsidRPr="00247043" w:rsidRDefault="00A320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320BE" w:rsidRPr="00247043" w:rsidRDefault="00A320BE" w:rsidP="00A320BE">
      <w:pPr>
        <w:pStyle w:val="a4"/>
        <w:jc w:val="left"/>
        <w:rPr>
          <w:b/>
          <w:bCs/>
          <w:sz w:val="28"/>
          <w:szCs w:val="28"/>
        </w:rPr>
      </w:pPr>
      <w:r w:rsidRPr="00247043">
        <w:rPr>
          <w:b/>
          <w:bCs/>
          <w:sz w:val="28"/>
          <w:szCs w:val="28"/>
        </w:rPr>
        <w:t xml:space="preserve">Об утверждении Порядка проведения                                                                             </w:t>
      </w:r>
      <w:proofErr w:type="spellStart"/>
      <w:r w:rsidRPr="00247043">
        <w:rPr>
          <w:b/>
          <w:bCs/>
          <w:sz w:val="28"/>
          <w:szCs w:val="28"/>
        </w:rPr>
        <w:t>антикоррупционной</w:t>
      </w:r>
      <w:proofErr w:type="spellEnd"/>
      <w:r w:rsidRPr="00247043">
        <w:rPr>
          <w:b/>
          <w:bCs/>
          <w:sz w:val="28"/>
          <w:szCs w:val="28"/>
        </w:rPr>
        <w:t xml:space="preserve">  экспертизы нормативных                                                            правовых актов и проектов нормативных                                                                правовых актов  муниципального                                                                       образования Чапаевский сельсовет.</w:t>
      </w:r>
    </w:p>
    <w:p w:rsidR="00A320BE" w:rsidRPr="00247043" w:rsidRDefault="00A320BE" w:rsidP="00A320BE">
      <w:pPr>
        <w:pStyle w:val="a4"/>
        <w:jc w:val="left"/>
        <w:rPr>
          <w:bCs/>
          <w:sz w:val="28"/>
          <w:szCs w:val="28"/>
        </w:rPr>
      </w:pPr>
    </w:p>
    <w:p w:rsidR="00A320BE" w:rsidRPr="00247043" w:rsidRDefault="00A320BE" w:rsidP="00A320BE">
      <w:pPr>
        <w:pStyle w:val="a4"/>
        <w:ind w:firstLine="708"/>
        <w:rPr>
          <w:sz w:val="28"/>
          <w:szCs w:val="28"/>
        </w:rPr>
      </w:pPr>
      <w:proofErr w:type="gramStart"/>
      <w:r w:rsidRPr="00247043">
        <w:rPr>
          <w:sz w:val="28"/>
          <w:szCs w:val="28"/>
        </w:rPr>
        <w:t>В соответствии со статьей 7 Федерального закона от 06.10.2003 г</w:t>
      </w:r>
      <w:r w:rsidR="00247043">
        <w:rPr>
          <w:sz w:val="28"/>
          <w:szCs w:val="28"/>
        </w:rPr>
        <w:t>ода</w:t>
      </w:r>
      <w:r w:rsidRPr="00247043">
        <w:rPr>
          <w:sz w:val="28"/>
          <w:szCs w:val="28"/>
        </w:rPr>
        <w:t xml:space="preserve"> № 131-ФЗ «Об общих принципах местного самоуправления в РФ», статьей 3 Федерального закона от 17.07.2009 </w:t>
      </w:r>
      <w:r w:rsidR="00C86441">
        <w:rPr>
          <w:sz w:val="28"/>
          <w:szCs w:val="28"/>
        </w:rPr>
        <w:t>года №</w:t>
      </w:r>
      <w:r w:rsidRPr="00247043">
        <w:rPr>
          <w:sz w:val="28"/>
          <w:szCs w:val="28"/>
        </w:rPr>
        <w:t xml:space="preserve"> 172-ФЗ «Об </w:t>
      </w:r>
      <w:proofErr w:type="spellStart"/>
      <w:r w:rsidRPr="00247043">
        <w:rPr>
          <w:sz w:val="28"/>
          <w:szCs w:val="28"/>
        </w:rPr>
        <w:t>антикоррупционной</w:t>
      </w:r>
      <w:proofErr w:type="spellEnd"/>
      <w:r w:rsidRPr="00247043"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Устава муниципального образования Чапаевский сельсовет, в целях организации деятельности органов местного самоуправления сельского поселения Чапаевский сельсовет по предупреждению включения в проекты нормативных правовых</w:t>
      </w:r>
      <w:proofErr w:type="gramEnd"/>
      <w:r w:rsidRPr="00247043">
        <w:rPr>
          <w:sz w:val="28"/>
          <w:szCs w:val="28"/>
        </w:rPr>
        <w:t xml:space="preserve"> актов положений, способствующих созданию условий для проявления коррупции, выявлению и устранению таких положений в действующих нормативных правовых актах Совет депутатов </w:t>
      </w:r>
      <w:r w:rsidRPr="00247043">
        <w:rPr>
          <w:b/>
          <w:color w:val="000000"/>
          <w:sz w:val="28"/>
          <w:szCs w:val="28"/>
        </w:rPr>
        <w:t>РЕШИЛ:</w:t>
      </w:r>
    </w:p>
    <w:p w:rsidR="00C86441" w:rsidRDefault="00C86441" w:rsidP="00C8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BE" w:rsidRPr="00247043" w:rsidRDefault="00C86441" w:rsidP="00C8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A320BE" w:rsidRPr="00247043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proofErr w:type="spellStart"/>
      <w:r w:rsidR="00A320BE"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20BE" w:rsidRPr="002470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 w:rsidR="00A320BE" w:rsidRPr="00247043">
        <w:rPr>
          <w:rFonts w:ascii="Times New Roman" w:hAnsi="Times New Roman" w:cs="Times New Roman"/>
          <w:bCs/>
          <w:sz w:val="28"/>
          <w:szCs w:val="28"/>
        </w:rPr>
        <w:t>и проектов нормативных                                                                правовых актов</w:t>
      </w:r>
      <w:r w:rsidR="00A320BE" w:rsidRPr="002470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 сельсовет./Приложение № 1/</w:t>
      </w:r>
    </w:p>
    <w:p w:rsidR="00A320BE" w:rsidRPr="00247043" w:rsidRDefault="00C86441" w:rsidP="00C864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0BE" w:rsidRPr="0024704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</w:t>
      </w:r>
      <w:proofErr w:type="spellStart"/>
      <w:r w:rsidR="00A320BE"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20BE" w:rsidRPr="00247043">
        <w:rPr>
          <w:rFonts w:ascii="Times New Roman" w:hAnsi="Times New Roman" w:cs="Times New Roman"/>
          <w:sz w:val="28"/>
          <w:szCs w:val="28"/>
        </w:rPr>
        <w:t xml:space="preserve"> экспертизы./Приложение № 2/</w:t>
      </w:r>
    </w:p>
    <w:p w:rsidR="00A320BE" w:rsidRPr="00247043" w:rsidRDefault="00C86441" w:rsidP="00C864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20BE" w:rsidRPr="00247043">
        <w:rPr>
          <w:rFonts w:ascii="Times New Roman" w:hAnsi="Times New Roman" w:cs="Times New Roman"/>
          <w:sz w:val="28"/>
          <w:szCs w:val="28"/>
        </w:rPr>
        <w:t>Установить, что н</w:t>
      </w:r>
      <w:r w:rsidR="00A320BE" w:rsidRPr="0024704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</w:t>
      </w:r>
      <w:r w:rsidR="00096E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320BE" w:rsidRPr="00247043">
        <w:rPr>
          <w:rFonts w:ascii="Times New Roman" w:hAnsi="Times New Roman" w:cs="Times New Roman"/>
          <w:color w:val="000000"/>
          <w:sz w:val="28"/>
          <w:szCs w:val="28"/>
        </w:rPr>
        <w:t xml:space="preserve">ешение вступает в силу с момента его обнародования. </w:t>
      </w:r>
    </w:p>
    <w:p w:rsidR="00A320BE" w:rsidRPr="00247043" w:rsidRDefault="00C86441" w:rsidP="00C864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320BE" w:rsidRPr="002470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20BE" w:rsidRPr="00247043">
        <w:rPr>
          <w:rFonts w:ascii="Times New Roman" w:hAnsi="Times New Roman" w:cs="Times New Roman"/>
          <w:sz w:val="28"/>
          <w:szCs w:val="28"/>
        </w:rPr>
        <w:t xml:space="preserve">озложить </w:t>
      </w:r>
      <w:proofErr w:type="gramStart"/>
      <w:r w:rsidR="00A320BE" w:rsidRPr="00247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20BE" w:rsidRPr="002470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комиссию по бюджету правопорядку и муниципальной службе.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41" w:rsidRDefault="00A320BE" w:rsidP="00096ED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20BE" w:rsidRPr="00247043" w:rsidRDefault="00A320BE" w:rsidP="00096ED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20BE" w:rsidRPr="00247043" w:rsidRDefault="00A320BE" w:rsidP="00096ED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Чапаевский  сельсовет                                                         А.А.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</w:p>
    <w:p w:rsidR="00C86441" w:rsidRDefault="00C86441" w:rsidP="00C8644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86441" w:rsidRDefault="00C86441" w:rsidP="00C8644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C8644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6441" w:rsidRDefault="00A320BE" w:rsidP="00C86441">
      <w:pPr>
        <w:spacing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C8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BE" w:rsidRPr="00247043" w:rsidRDefault="00A320BE" w:rsidP="00C86441">
      <w:pPr>
        <w:spacing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от   20 мая  2011  г</w:t>
      </w:r>
      <w:r w:rsidR="00C86441">
        <w:rPr>
          <w:rFonts w:ascii="Times New Roman" w:hAnsi="Times New Roman" w:cs="Times New Roman"/>
          <w:sz w:val="28"/>
          <w:szCs w:val="28"/>
        </w:rPr>
        <w:t xml:space="preserve">ода </w:t>
      </w:r>
      <w:r w:rsidRPr="00247043"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A320BE" w:rsidRPr="00247043" w:rsidRDefault="00A320BE" w:rsidP="00A320BE">
      <w:pPr>
        <w:ind w:left="52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ind w:left="52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BE" w:rsidRPr="00247043" w:rsidRDefault="00A320BE" w:rsidP="0056433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24704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проведения </w:t>
      </w:r>
      <w:proofErr w:type="spellStart"/>
      <w:r w:rsidRPr="00247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муниципального образования Чапаевский сельсовет Новоорского района Оренбургской области</w:t>
      </w:r>
    </w:p>
    <w:p w:rsidR="00A320BE" w:rsidRPr="00247043" w:rsidRDefault="00A320BE" w:rsidP="00A320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EDD" w:rsidRDefault="00A320BE" w:rsidP="00096EDD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sub_1100"/>
      <w:r w:rsidRPr="00247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bookmarkEnd w:id="0"/>
    </w:p>
    <w:p w:rsidR="00A320BE" w:rsidRPr="00096EDD" w:rsidRDefault="00A320BE" w:rsidP="00096EDD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(далее – акты и проекты актов) в целях выявления в них положений, способствующих созданию условий для проявления коррупции.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проводится с целью предупреждения и выявления при подготовке и принятии документов коррупционных факторов и коррупционных норм.</w:t>
      </w:r>
    </w:p>
    <w:p w:rsidR="00A320BE" w:rsidRPr="00247043" w:rsidRDefault="00A320BE" w:rsidP="00A32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проводится Комиссией по проведению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муниципального образования.</w:t>
      </w:r>
    </w:p>
    <w:p w:rsidR="00A320BE" w:rsidRPr="00247043" w:rsidRDefault="00A320BE" w:rsidP="00A32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1.3. 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комиссия создается решением Совета депутатов и состоит из 5 человек. Членами комиссии могут быть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имеющие не ниже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образования и стаж работы в сфере управления, педагогической деятельности, делопроизводства не менее 3-х лет.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47043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b/>
          <w:sz w:val="28"/>
          <w:szCs w:val="28"/>
        </w:rPr>
        <w:t xml:space="preserve"> экспертиза </w:t>
      </w:r>
      <w:r w:rsidRPr="0024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проектов </w:t>
      </w:r>
      <w:r w:rsidRPr="0024704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проектов решений Совета депутатов муниципального образования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и проектов постановлений главы муниципального образования проводится созданной Комиссией.</w:t>
      </w:r>
    </w:p>
    <w:p w:rsidR="00A320BE" w:rsidRPr="00247043" w:rsidRDefault="00A320BE" w:rsidP="00A320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Специалист, разработавший проект нормативного правового акта, передает его на экспертизу в Комиссию.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Методикой, определенной Правительством Российской Федерации. Комиссия рассматривает проекты нормативных правовых актов не менее пяти и не более пятнадцати рабочих дней. </w:t>
      </w:r>
    </w:p>
    <w:p w:rsidR="00A320BE" w:rsidRPr="00247043" w:rsidRDefault="00A320BE" w:rsidP="00A32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 xml:space="preserve">Положения проекта документа, способствующие созданию условий для проявления коррупции, выявленные при проведении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экспертизы, устраняются на стадии </w:t>
      </w:r>
      <w:r w:rsidRPr="00247043">
        <w:rPr>
          <w:rFonts w:ascii="Times New Roman" w:hAnsi="Times New Roman" w:cs="Times New Roman"/>
          <w:sz w:val="28"/>
          <w:szCs w:val="28"/>
          <w:u w:val="single"/>
        </w:rPr>
        <w:t>доработки</w:t>
      </w:r>
      <w:r w:rsidRPr="00247043">
        <w:rPr>
          <w:rFonts w:ascii="Times New Roman" w:hAnsi="Times New Roman" w:cs="Times New Roman"/>
          <w:sz w:val="28"/>
          <w:szCs w:val="28"/>
        </w:rPr>
        <w:t xml:space="preserve"> проекта документа разработчиком проекта документа.</w:t>
      </w:r>
      <w:proofErr w:type="gramEnd"/>
    </w:p>
    <w:p w:rsidR="00A320BE" w:rsidRPr="00247043" w:rsidRDefault="00A320BE" w:rsidP="00A32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Результаты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заключении, подготавливаемом по итогам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экспертизы. Заключение подписывается всеми членами Комиссии. </w:t>
      </w:r>
    </w:p>
    <w:p w:rsidR="00A320BE" w:rsidRPr="00247043" w:rsidRDefault="00A320BE" w:rsidP="00A32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Если один или несколько членов Комиссии не могут участвовать в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экспертизе проектов нормативных правовых актов, напротив их фамилии в заключении ставится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по которой данное заключение составлено без их участия.</w:t>
      </w:r>
    </w:p>
    <w:p w:rsidR="00A320BE" w:rsidRPr="00247043" w:rsidRDefault="00A320BE" w:rsidP="00A32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2.4.  Если, после проведенной проверки, в проекте нормативного правового акта выявлены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факторы, проект нормативного правового акта вместе с заключением Комиссии передается разработчику для устранения выявленных положений, которые могут способствовать проявлениям коррупции. </w:t>
      </w:r>
    </w:p>
    <w:p w:rsidR="00A320BE" w:rsidRPr="00247043" w:rsidRDefault="00A320BE" w:rsidP="00A320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Если в проекте нормативного правового акта, направленного на экспертизу, отсутствуют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факторы, Специалист, разработавший проект нормативного правового акта,  получив заключение, подшивает его к акту и направляет его для принятия в Совет депутатов или главе муниципального образования. </w:t>
      </w:r>
    </w:p>
    <w:p w:rsidR="00A320BE" w:rsidRPr="00247043" w:rsidRDefault="00A320BE" w:rsidP="00A320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Все заключения подшиваются к муниципальному нормативному правовому акту и хранятся совместно.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b/>
          <w:sz w:val="28"/>
          <w:szCs w:val="28"/>
        </w:rPr>
        <w:t>3.</w:t>
      </w:r>
      <w:r w:rsidRPr="0024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43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b/>
          <w:sz w:val="28"/>
          <w:szCs w:val="28"/>
        </w:rPr>
        <w:t xml:space="preserve"> экспертиза действующих нормативных правовых актов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муниципального образования проводится в отношении решений Совета депутатов муниципального образования и постановлений главы муниципального образования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осуществляется по поручению Главы муниципального образования или по обращению депутатов Совета депутатов муниципального образования, физических или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лиц.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экспертиза проводится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при необходимости проведения такой проверки с указанием на возможность  проявления коррупции в связи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с применением  действующих нормативных правовых актов.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3.3. Результатом проведенной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 являются выявленные типичные и иные коррупционные факторы и проявления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или вывод об их отсутствии.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Результаты проведенной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оформляются в виде заключения.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3.4. Заключение по результатам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рассматривается органом местного самоуправления, принявшим данный документ.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ab/>
        <w:t xml:space="preserve">Комиссия готовит предложения о внесении в нормативный правовой акт, прошедший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экспертизу, изменений, обеспечивающих устранение выявленных положений, которые могут способствовать проявлениям коррупции.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43">
        <w:rPr>
          <w:rFonts w:ascii="Times New Roman" w:hAnsi="Times New Roman" w:cs="Times New Roman"/>
          <w:b/>
          <w:sz w:val="28"/>
          <w:szCs w:val="28"/>
        </w:rPr>
        <w:t>4. Оформление результатов проведения экспертизы</w:t>
      </w:r>
    </w:p>
    <w:p w:rsidR="00247043" w:rsidRPr="00247043" w:rsidRDefault="00A320BE" w:rsidP="00096EDD">
      <w:pPr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4.1. По результатам проведения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Комиссия готовит письменное экспертное заключение о результатах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(далее – экспертное заключение).                                                                                                                            </w:t>
      </w:r>
    </w:p>
    <w:p w:rsidR="00A320BE" w:rsidRPr="00247043" w:rsidRDefault="00A320BE" w:rsidP="00096EDD">
      <w:pPr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4.2. В экспертном заключении должны содержаться следующие сведения: </w:t>
      </w:r>
    </w:p>
    <w:p w:rsidR="00A320BE" w:rsidRPr="00247043" w:rsidRDefault="00A320BE" w:rsidP="00096EDD">
      <w:pPr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4.2.1. Дата подготовки экспертного заключения.  </w:t>
      </w:r>
    </w:p>
    <w:p w:rsidR="00A320BE" w:rsidRPr="00247043" w:rsidRDefault="00A320BE" w:rsidP="00096EDD">
      <w:pPr>
        <w:jc w:val="left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4.2.2. Вид и наименование проекта правового акта, прошедшего;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экспертизу.                            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4.5.3.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положений);  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4.5.4. Предложения о способах устранения выявленных в проекте правового акта положений, способствующих созданию условий для проявления коррупции;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4.5.5.  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4.3. Экспертное заключение подписывается председателем комиссии.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43">
        <w:rPr>
          <w:rFonts w:ascii="Times New Roman" w:hAnsi="Times New Roman" w:cs="Times New Roman"/>
          <w:b/>
          <w:sz w:val="28"/>
          <w:szCs w:val="28"/>
        </w:rPr>
        <w:t xml:space="preserve">5. Предоставление нормативных правовых актов и проектов нормативных правовых актов в органы прокуратуры для проведения </w:t>
      </w:r>
      <w:proofErr w:type="spellStart"/>
      <w:r w:rsidRPr="0024704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096EDD" w:rsidRPr="00096EDD" w:rsidRDefault="00A320BE" w:rsidP="00096EDD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5.1. Если, при проведении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комиссия обнаруживает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факторы, принятие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по устранению </w:t>
      </w:r>
      <w:r w:rsidRPr="00096EDD">
        <w:rPr>
          <w:rFonts w:ascii="Times New Roman" w:hAnsi="Times New Roman" w:cs="Times New Roman"/>
          <w:sz w:val="28"/>
          <w:szCs w:val="28"/>
        </w:rPr>
        <w:t xml:space="preserve">которых не относится к ее компетенции, она информирует об этом прокуратуры Новоорского района Оренбургской. </w:t>
      </w:r>
    </w:p>
    <w:p w:rsidR="00096EDD" w:rsidRPr="00096EDD" w:rsidRDefault="00A320BE" w:rsidP="00096E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EDD">
        <w:rPr>
          <w:rFonts w:ascii="Times New Roman" w:hAnsi="Times New Roman" w:cs="Times New Roman"/>
          <w:b/>
          <w:bCs/>
          <w:sz w:val="28"/>
          <w:szCs w:val="28"/>
        </w:rPr>
        <w:t xml:space="preserve">6. Независимая </w:t>
      </w:r>
      <w:proofErr w:type="spellStart"/>
      <w:r w:rsidRPr="00096EDD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096ED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экспертиза.</w:t>
      </w:r>
    </w:p>
    <w:p w:rsidR="00112FAF" w:rsidRDefault="00A320BE" w:rsidP="00112FAF">
      <w:pPr>
        <w:jc w:val="both"/>
        <w:rPr>
          <w:rFonts w:ascii="Times New Roman" w:hAnsi="Times New Roman" w:cs="Times New Roman"/>
          <w:sz w:val="28"/>
          <w:szCs w:val="28"/>
        </w:rPr>
      </w:pPr>
      <w:r w:rsidRPr="00096EDD">
        <w:rPr>
          <w:rFonts w:ascii="Times New Roman" w:hAnsi="Times New Roman" w:cs="Times New Roman"/>
          <w:sz w:val="28"/>
          <w:szCs w:val="28"/>
        </w:rPr>
        <w:t xml:space="preserve">6.1. Независимая </w:t>
      </w:r>
      <w:proofErr w:type="spellStart"/>
      <w:r w:rsidRPr="00096E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96EDD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их проектов может </w:t>
      </w:r>
      <w:proofErr w:type="gramStart"/>
      <w:r w:rsidRPr="00096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96EDD">
        <w:rPr>
          <w:rFonts w:ascii="Times New Roman" w:hAnsi="Times New Roman" w:cs="Times New Roman"/>
          <w:sz w:val="28"/>
          <w:szCs w:val="28"/>
        </w:rPr>
        <w:t xml:space="preserve"> аккредитованными в соответствии с законом юридическими  (физическими) лицами, уполномоченными на проведение </w:t>
      </w:r>
      <w:proofErr w:type="spellStart"/>
      <w:r w:rsidRPr="00096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6EDD">
        <w:rPr>
          <w:rFonts w:ascii="Times New Roman" w:hAnsi="Times New Roman" w:cs="Times New Roman"/>
          <w:sz w:val="28"/>
          <w:szCs w:val="28"/>
        </w:rPr>
        <w:t xml:space="preserve"> экспертизы (далее – независимые эксперты), по поручению Главы муниципального образования или по обращению депутатов Совета депутатов муниципального образования, физических или юридический лиц.                                                                                                                                6.2. </w:t>
      </w:r>
      <w:proofErr w:type="gramStart"/>
      <w:r w:rsidRPr="00096EDD">
        <w:rPr>
          <w:rFonts w:ascii="Times New Roman" w:hAnsi="Times New Roman" w:cs="Times New Roman"/>
          <w:sz w:val="28"/>
          <w:szCs w:val="28"/>
        </w:rPr>
        <w:t xml:space="preserve">Независимыми экспертами не могут являться юридические (физические) лица, принимавшие участие в подготовке проекта правового акта, а также организации, находящиеся в ведении исполнительного органа, являющегося разработчиком проекта правового акта, и физические лица, являющиеся работниками исполнительного органа либо работниками организации, </w:t>
      </w:r>
      <w:r w:rsidRPr="00096EDD">
        <w:rPr>
          <w:rFonts w:ascii="Times New Roman" w:hAnsi="Times New Roman" w:cs="Times New Roman"/>
          <w:sz w:val="28"/>
          <w:szCs w:val="28"/>
        </w:rPr>
        <w:lastRenderedPageBreak/>
        <w:t>находящейся в ведении исполнительного органа, являющегося разработчиком проекта правового акта.                                                                                                   6.3.</w:t>
      </w:r>
      <w:proofErr w:type="gramEnd"/>
      <w:r w:rsidRPr="00096EDD">
        <w:rPr>
          <w:rFonts w:ascii="Times New Roman" w:hAnsi="Times New Roman" w:cs="Times New Roman"/>
          <w:sz w:val="28"/>
          <w:szCs w:val="28"/>
        </w:rPr>
        <w:t xml:space="preserve"> Официальными документами, удостоверяющими аккредитацию, являются свидетельство об аккредитации юридического лица в качестве независимого эксперта, уполномоченного на проведение </w:t>
      </w:r>
      <w:proofErr w:type="spellStart"/>
      <w:r w:rsidRPr="00096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6EDD">
        <w:rPr>
          <w:rFonts w:ascii="Times New Roman" w:hAnsi="Times New Roman" w:cs="Times New Roman"/>
          <w:sz w:val="28"/>
          <w:szCs w:val="28"/>
        </w:rPr>
        <w:t xml:space="preserve"> экспертизы, и свидетельство об аккредитации физического лица в качестве независимого эксперта, уполномоченного на проведение </w:t>
      </w:r>
      <w:proofErr w:type="spellStart"/>
      <w:r w:rsidRPr="00096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6EDD">
        <w:rPr>
          <w:rFonts w:ascii="Times New Roman" w:hAnsi="Times New Roman" w:cs="Times New Roman"/>
          <w:sz w:val="28"/>
          <w:szCs w:val="28"/>
        </w:rPr>
        <w:t xml:space="preserve"> экспертизы (далее – свидетельства об аккредитации), выдаваемые в порядке, установленным законом.                                                                                                                                                                               6.4. Срок проведения независимой </w:t>
      </w:r>
      <w:proofErr w:type="spellStart"/>
      <w:r w:rsidRPr="00096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6EDD">
        <w:rPr>
          <w:rFonts w:ascii="Times New Roman" w:hAnsi="Times New Roman" w:cs="Times New Roman"/>
          <w:sz w:val="28"/>
          <w:szCs w:val="28"/>
        </w:rPr>
        <w:t xml:space="preserve"> экспертизы проектов правовых актов составляет 14 дней.                                                                                                                                              6.5. По результатам независимой </w:t>
      </w:r>
      <w:proofErr w:type="spellStart"/>
      <w:r w:rsidRPr="00096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6EDD">
        <w:rPr>
          <w:rFonts w:ascii="Times New Roman" w:hAnsi="Times New Roman" w:cs="Times New Roman"/>
          <w:sz w:val="28"/>
          <w:szCs w:val="28"/>
        </w:rPr>
        <w:t xml:space="preserve"> экспертизы независимым экспертом подготавливается экспертное заключение, оформляемое в соответствии с  настоящим Положением.                                                                                                                                                  6.6. 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  </w:t>
      </w:r>
    </w:p>
    <w:p w:rsidR="00112FAF" w:rsidRDefault="00A320BE" w:rsidP="00112FAF">
      <w:pPr>
        <w:jc w:val="both"/>
        <w:rPr>
          <w:rFonts w:ascii="Times New Roman" w:hAnsi="Times New Roman" w:cs="Times New Roman"/>
          <w:sz w:val="28"/>
          <w:szCs w:val="28"/>
        </w:rPr>
      </w:pPr>
      <w:r w:rsidRPr="00096EDD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096E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6EDD">
        <w:rPr>
          <w:rFonts w:ascii="Times New Roman" w:hAnsi="Times New Roman" w:cs="Times New Roman"/>
          <w:sz w:val="28"/>
          <w:szCs w:val="28"/>
        </w:rPr>
        <w:t xml:space="preserve">се экспертные заключения независимых экспертов,  прилагаются к проекту нормативного правового акта.               </w:t>
      </w:r>
    </w:p>
    <w:p w:rsidR="00112FAF" w:rsidRPr="00112FAF" w:rsidRDefault="00A320BE" w:rsidP="00112F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FAF">
        <w:rPr>
          <w:rFonts w:ascii="Times New Roman" w:hAnsi="Times New Roman" w:cs="Times New Roman"/>
          <w:bCs/>
          <w:sz w:val="28"/>
          <w:szCs w:val="28"/>
        </w:rPr>
        <w:t>7</w:t>
      </w:r>
      <w:r w:rsidRPr="00112FAF">
        <w:rPr>
          <w:rFonts w:ascii="Times New Roman" w:hAnsi="Times New Roman" w:cs="Times New Roman"/>
          <w:b/>
          <w:bCs/>
          <w:sz w:val="28"/>
          <w:szCs w:val="28"/>
        </w:rPr>
        <w:t xml:space="preserve">. Учет результатов </w:t>
      </w:r>
      <w:proofErr w:type="spellStart"/>
      <w:r w:rsidRPr="00112FAF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12FAF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A320BE" w:rsidRPr="00112FAF" w:rsidRDefault="00A320BE" w:rsidP="00112FAF">
      <w:pPr>
        <w:jc w:val="both"/>
        <w:rPr>
          <w:rFonts w:ascii="Times New Roman" w:hAnsi="Times New Roman" w:cs="Times New Roman"/>
          <w:sz w:val="28"/>
          <w:szCs w:val="28"/>
        </w:rPr>
      </w:pPr>
      <w:r w:rsidRPr="00112FA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12FAF">
        <w:rPr>
          <w:rFonts w:ascii="Times New Roman" w:hAnsi="Times New Roman" w:cs="Times New Roman"/>
          <w:sz w:val="28"/>
          <w:szCs w:val="28"/>
        </w:rPr>
        <w:t xml:space="preserve">Положения проекта правового акта, способствующие созданию условий </w:t>
      </w:r>
      <w:r w:rsidRPr="00112FAF">
        <w:rPr>
          <w:rFonts w:ascii="Times New Roman" w:hAnsi="Times New Roman" w:cs="Times New Roman"/>
          <w:sz w:val="28"/>
          <w:szCs w:val="28"/>
        </w:rPr>
        <w:br/>
        <w:t xml:space="preserve">для проявления коррупции, выявленные при проведении </w:t>
      </w:r>
      <w:proofErr w:type="spellStart"/>
      <w:r w:rsidRPr="00112F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2FAF">
        <w:rPr>
          <w:rFonts w:ascii="Times New Roman" w:hAnsi="Times New Roman" w:cs="Times New Roman"/>
          <w:sz w:val="28"/>
          <w:szCs w:val="28"/>
        </w:rPr>
        <w:t xml:space="preserve"> экспертизы, устраняются на стадии доработки проекта правового акта исполнительным органом, являющимся разработчиком проекта правового акта.</w:t>
      </w:r>
      <w:proofErr w:type="gramEnd"/>
    </w:p>
    <w:p w:rsidR="00A320BE" w:rsidRPr="00112FAF" w:rsidRDefault="00A320BE" w:rsidP="00A320BE">
      <w:pPr>
        <w:pStyle w:val="a3"/>
        <w:jc w:val="both"/>
        <w:rPr>
          <w:color w:val="auto"/>
          <w:sz w:val="28"/>
          <w:szCs w:val="28"/>
        </w:rPr>
      </w:pPr>
    </w:p>
    <w:p w:rsidR="00A320BE" w:rsidRPr="00112FAF" w:rsidRDefault="00A320BE" w:rsidP="00A320BE">
      <w:pPr>
        <w:pStyle w:val="a3"/>
        <w:jc w:val="both"/>
        <w:rPr>
          <w:color w:val="auto"/>
          <w:sz w:val="28"/>
          <w:szCs w:val="28"/>
        </w:rPr>
      </w:pPr>
    </w:p>
    <w:p w:rsidR="00A320BE" w:rsidRPr="00112FAF" w:rsidRDefault="00A320BE" w:rsidP="00A320BE">
      <w:pPr>
        <w:pStyle w:val="a3"/>
        <w:jc w:val="both"/>
        <w:rPr>
          <w:color w:val="auto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112FAF" w:rsidRDefault="00112FAF" w:rsidP="00A320BE">
      <w:pPr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rPr>
          <w:rFonts w:ascii="Times New Roman" w:hAnsi="Times New Roman" w:cs="Times New Roman"/>
          <w:sz w:val="28"/>
          <w:szCs w:val="28"/>
        </w:rPr>
      </w:pPr>
      <w:r w:rsidRPr="00112F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320BE" w:rsidRPr="00112FAF" w:rsidRDefault="00A320BE" w:rsidP="00A320BE">
      <w:pPr>
        <w:rPr>
          <w:rFonts w:ascii="Times New Roman" w:hAnsi="Times New Roman" w:cs="Times New Roman"/>
          <w:sz w:val="28"/>
          <w:szCs w:val="28"/>
        </w:rPr>
      </w:pPr>
      <w:r w:rsidRPr="00112FA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320BE" w:rsidRPr="00112FAF" w:rsidRDefault="00A320BE" w:rsidP="00A320BE">
      <w:pPr>
        <w:rPr>
          <w:rFonts w:ascii="Times New Roman" w:hAnsi="Times New Roman" w:cs="Times New Roman"/>
          <w:sz w:val="28"/>
          <w:szCs w:val="28"/>
        </w:rPr>
      </w:pPr>
      <w:r w:rsidRPr="00112FAF">
        <w:rPr>
          <w:rFonts w:ascii="Times New Roman" w:hAnsi="Times New Roman" w:cs="Times New Roman"/>
          <w:sz w:val="28"/>
          <w:szCs w:val="28"/>
        </w:rPr>
        <w:t>от  20.05.2011 года № 43</w:t>
      </w:r>
    </w:p>
    <w:p w:rsidR="00A320BE" w:rsidRPr="00112FAF" w:rsidRDefault="00A320BE" w:rsidP="00A320BE">
      <w:pPr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FAF">
        <w:rPr>
          <w:rFonts w:ascii="Times New Roman" w:hAnsi="Times New Roman" w:cs="Times New Roman"/>
          <w:sz w:val="28"/>
          <w:szCs w:val="28"/>
        </w:rPr>
        <w:t>СОСТАВ</w:t>
      </w: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2F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2FAF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112FAF">
        <w:rPr>
          <w:rFonts w:ascii="Times New Roman" w:hAnsi="Times New Roman" w:cs="Times New Roman"/>
          <w:sz w:val="28"/>
          <w:szCs w:val="28"/>
        </w:rPr>
        <w:br/>
        <w:t>МО ЧАПАЕВСКИЙ СЕЛЬСОВЕТ.</w:t>
      </w: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"/>
        <w:gridCol w:w="4963"/>
      </w:tblGrid>
      <w:tr w:rsidR="00A320BE" w:rsidRPr="00112FAF" w:rsidTr="00A320BE">
        <w:tc>
          <w:tcPr>
            <w:tcW w:w="4068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proofErr w:type="spellStart"/>
            <w:r w:rsidRPr="00112FAF">
              <w:rPr>
                <w:sz w:val="28"/>
                <w:szCs w:val="28"/>
              </w:rPr>
              <w:t>Кенжебаева</w:t>
            </w:r>
            <w:proofErr w:type="spellEnd"/>
            <w:r w:rsidRPr="00112FAF"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40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-</w:t>
            </w:r>
          </w:p>
        </w:tc>
        <w:tc>
          <w:tcPr>
            <w:tcW w:w="4963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председатель комиссии, главный бухгалтер  администрации</w:t>
            </w:r>
          </w:p>
        </w:tc>
      </w:tr>
      <w:tr w:rsidR="00A320BE" w:rsidRPr="00112FAF" w:rsidTr="00A320BE">
        <w:tc>
          <w:tcPr>
            <w:tcW w:w="9571" w:type="dxa"/>
            <w:gridSpan w:val="3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Члены комиссии:</w:t>
            </w:r>
          </w:p>
        </w:tc>
      </w:tr>
      <w:tr w:rsidR="00A320BE" w:rsidRPr="00112FAF" w:rsidTr="00A320BE">
        <w:tc>
          <w:tcPr>
            <w:tcW w:w="4068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Еремин С.И</w:t>
            </w:r>
          </w:p>
        </w:tc>
        <w:tc>
          <w:tcPr>
            <w:tcW w:w="540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-</w:t>
            </w:r>
          </w:p>
        </w:tc>
        <w:tc>
          <w:tcPr>
            <w:tcW w:w="4963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юрист администрации</w:t>
            </w:r>
          </w:p>
        </w:tc>
      </w:tr>
      <w:tr w:rsidR="00A320BE" w:rsidRPr="00112FAF" w:rsidTr="00A320BE">
        <w:tc>
          <w:tcPr>
            <w:tcW w:w="4068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Миллер Т.</w:t>
            </w:r>
            <w:proofErr w:type="gramStart"/>
            <w:r w:rsidRPr="00112FA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-</w:t>
            </w:r>
          </w:p>
        </w:tc>
        <w:tc>
          <w:tcPr>
            <w:tcW w:w="4963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A320BE" w:rsidRPr="00112FAF" w:rsidTr="00A320BE">
        <w:tc>
          <w:tcPr>
            <w:tcW w:w="4068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Полянская С.И</w:t>
            </w:r>
          </w:p>
        </w:tc>
        <w:tc>
          <w:tcPr>
            <w:tcW w:w="540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-</w:t>
            </w:r>
          </w:p>
        </w:tc>
        <w:tc>
          <w:tcPr>
            <w:tcW w:w="4963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112FAF">
              <w:rPr>
                <w:sz w:val="28"/>
                <w:szCs w:val="28"/>
              </w:rPr>
              <w:t>МОУСОШ</w:t>
            </w:r>
            <w:proofErr w:type="spellEnd"/>
            <w:r w:rsidRPr="00112FAF">
              <w:rPr>
                <w:sz w:val="28"/>
                <w:szCs w:val="28"/>
              </w:rPr>
              <w:t xml:space="preserve"> с</w:t>
            </w:r>
            <w:proofErr w:type="gramStart"/>
            <w:r w:rsidRPr="00112FAF">
              <w:rPr>
                <w:sz w:val="28"/>
                <w:szCs w:val="28"/>
              </w:rPr>
              <w:t>.Ч</w:t>
            </w:r>
            <w:proofErr w:type="gramEnd"/>
            <w:r w:rsidRPr="00112FAF">
              <w:rPr>
                <w:sz w:val="28"/>
                <w:szCs w:val="28"/>
              </w:rPr>
              <w:t>апаевка.</w:t>
            </w:r>
          </w:p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/по согласованию/</w:t>
            </w:r>
          </w:p>
        </w:tc>
      </w:tr>
      <w:tr w:rsidR="00A320BE" w:rsidRPr="00112FAF" w:rsidTr="00A320BE">
        <w:tc>
          <w:tcPr>
            <w:tcW w:w="4068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proofErr w:type="spellStart"/>
            <w:r w:rsidRPr="00112FAF">
              <w:rPr>
                <w:sz w:val="28"/>
                <w:szCs w:val="28"/>
              </w:rPr>
              <w:t>Корелин</w:t>
            </w:r>
            <w:proofErr w:type="spellEnd"/>
            <w:r w:rsidRPr="00112FAF">
              <w:rPr>
                <w:sz w:val="28"/>
                <w:szCs w:val="28"/>
              </w:rPr>
              <w:t xml:space="preserve"> </w:t>
            </w:r>
            <w:proofErr w:type="spellStart"/>
            <w:r w:rsidRPr="00112FAF">
              <w:rPr>
                <w:sz w:val="28"/>
                <w:szCs w:val="28"/>
              </w:rPr>
              <w:t>В.</w:t>
            </w:r>
            <w:proofErr w:type="gramStart"/>
            <w:r w:rsidRPr="00112FA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-</w:t>
            </w:r>
          </w:p>
        </w:tc>
        <w:tc>
          <w:tcPr>
            <w:tcW w:w="4963" w:type="dxa"/>
            <w:hideMark/>
          </w:tcPr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 xml:space="preserve">ООО «ПФ </w:t>
            </w:r>
            <w:proofErr w:type="spellStart"/>
            <w:r w:rsidRPr="00112FAF">
              <w:rPr>
                <w:sz w:val="28"/>
                <w:szCs w:val="28"/>
              </w:rPr>
              <w:t>Орская</w:t>
            </w:r>
            <w:proofErr w:type="spellEnd"/>
            <w:r w:rsidRPr="00112FAF">
              <w:rPr>
                <w:sz w:val="28"/>
                <w:szCs w:val="28"/>
              </w:rPr>
              <w:t>» главный технолог,</w:t>
            </w:r>
          </w:p>
          <w:p w:rsidR="00A320BE" w:rsidRPr="00112FAF" w:rsidRDefault="00A320BE" w:rsidP="00112FAF">
            <w:pPr>
              <w:jc w:val="both"/>
              <w:rPr>
                <w:sz w:val="28"/>
                <w:szCs w:val="28"/>
              </w:rPr>
            </w:pPr>
            <w:r w:rsidRPr="00112FAF">
              <w:rPr>
                <w:sz w:val="28"/>
                <w:szCs w:val="28"/>
              </w:rPr>
              <w:t>/ по согласованию/</w:t>
            </w:r>
          </w:p>
        </w:tc>
      </w:tr>
    </w:tbl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112FAF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76" w:rsidRPr="00247043" w:rsidRDefault="00C13476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A320BE" w:rsidRPr="00247043" w:rsidRDefault="00A320BE" w:rsidP="00A3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составе: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в соответствии с Порядков проведения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муниципального образования Чапаевский сельсовет, утвержденным решением Совета депутатов МО ________________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______ № ____, провела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экспертизу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  <w:r w:rsidR="00C13476">
        <w:rPr>
          <w:rFonts w:ascii="Times New Roman" w:hAnsi="Times New Roman" w:cs="Times New Roman"/>
          <w:sz w:val="28"/>
          <w:szCs w:val="28"/>
        </w:rPr>
        <w:t xml:space="preserve"> </w:t>
      </w:r>
      <w:r w:rsidRPr="00247043">
        <w:rPr>
          <w:rFonts w:ascii="Times New Roman" w:hAnsi="Times New Roman" w:cs="Times New Roman"/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A320BE" w:rsidRPr="009A467E" w:rsidRDefault="00A320BE" w:rsidP="00A3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7E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43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proofErr w:type="gramEnd"/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  <w:r w:rsidR="009A467E">
        <w:rPr>
          <w:rFonts w:ascii="Times New Roman" w:hAnsi="Times New Roman" w:cs="Times New Roman"/>
          <w:sz w:val="28"/>
          <w:szCs w:val="28"/>
        </w:rPr>
        <w:t xml:space="preserve"> </w:t>
      </w:r>
      <w:r w:rsidRPr="00247043">
        <w:rPr>
          <w:rFonts w:ascii="Times New Roman" w:hAnsi="Times New Roman" w:cs="Times New Roman"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  <w:r w:rsidR="009A467E">
        <w:rPr>
          <w:rFonts w:ascii="Times New Roman" w:hAnsi="Times New Roman" w:cs="Times New Roman"/>
          <w:sz w:val="28"/>
          <w:szCs w:val="28"/>
        </w:rPr>
        <w:t xml:space="preserve"> </w:t>
      </w:r>
      <w:r w:rsidRPr="0024704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законным. </w:t>
      </w:r>
    </w:p>
    <w:p w:rsidR="00A320BE" w:rsidRPr="009A467E" w:rsidRDefault="00A320BE" w:rsidP="00A3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7E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43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proofErr w:type="gramEnd"/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выявлены положения, способствующие созданию условий для проявления коррупции, а именно: _______________________________________________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(указываются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факторы, имеющиеся в изученном правовом акте, степень их влияния на общий уровень </w:t>
      </w:r>
      <w:proofErr w:type="spellStart"/>
      <w:r w:rsidRPr="0024704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247043">
        <w:rPr>
          <w:rFonts w:ascii="Times New Roman" w:hAnsi="Times New Roman" w:cs="Times New Roman"/>
          <w:sz w:val="28"/>
          <w:szCs w:val="28"/>
        </w:rPr>
        <w:t xml:space="preserve"> правового акта, возможность устранения или уменьшения данных факторов за счет изменения отдельных формулировок правового акта). __________________________________________________________________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 w:rsidRPr="0024704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247043">
        <w:rPr>
          <w:rFonts w:ascii="Times New Roman" w:hAnsi="Times New Roman" w:cs="Times New Roman"/>
          <w:sz w:val="28"/>
          <w:szCs w:val="28"/>
        </w:rPr>
        <w:t xml:space="preserve"> незаконным. 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Подписи членов Комиссии (с указанием должности):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>_________________________________________       _____________________</w:t>
      </w:r>
    </w:p>
    <w:p w:rsidR="00A320BE" w:rsidRPr="00247043" w:rsidRDefault="00A320BE" w:rsidP="00A3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47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A15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704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D3189" w:rsidRDefault="001D3189" w:rsidP="005A1511">
      <w:pPr>
        <w:jc w:val="left"/>
      </w:pPr>
    </w:p>
    <w:sectPr w:rsidR="001D3189" w:rsidSect="009D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7821"/>
    <w:multiLevelType w:val="hybridMultilevel"/>
    <w:tmpl w:val="036CC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0BE"/>
    <w:rsid w:val="00096EDD"/>
    <w:rsid w:val="00112FAF"/>
    <w:rsid w:val="00125671"/>
    <w:rsid w:val="001D3189"/>
    <w:rsid w:val="00247043"/>
    <w:rsid w:val="002D414E"/>
    <w:rsid w:val="00564337"/>
    <w:rsid w:val="005A1511"/>
    <w:rsid w:val="009A467E"/>
    <w:rsid w:val="009D47A4"/>
    <w:rsid w:val="00A320BE"/>
    <w:rsid w:val="00C13476"/>
    <w:rsid w:val="00C20CEF"/>
    <w:rsid w:val="00C86441"/>
    <w:rsid w:val="00D469C6"/>
    <w:rsid w:val="00DA1598"/>
    <w:rsid w:val="00F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320BE"/>
    <w:pPr>
      <w:spacing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A320BE"/>
    <w:rPr>
      <w:rFonts w:ascii="Times New Roman" w:eastAsia="Times New Roman" w:hAnsi="Times New Roman" w:cs="Times New Roman"/>
      <w:sz w:val="32"/>
      <w:szCs w:val="24"/>
    </w:rPr>
  </w:style>
  <w:style w:type="table" w:styleId="a6">
    <w:name w:val="Table Grid"/>
    <w:basedOn w:val="a1"/>
    <w:rsid w:val="00A320B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2004-12-31T19:48:00Z</cp:lastPrinted>
  <dcterms:created xsi:type="dcterms:W3CDTF">2013-08-21T11:11:00Z</dcterms:created>
  <dcterms:modified xsi:type="dcterms:W3CDTF">2004-12-31T20:09:00Z</dcterms:modified>
</cp:coreProperties>
</file>