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 xml:space="preserve">           АДМИНИСТРАЦИЯ </w:t>
      </w:r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 xml:space="preserve">МУНИЦИПАЛЬНОГО ОБРАЗОВАНИЯ </w:t>
      </w:r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 xml:space="preserve">      ЧАПАЕВСКИЙ СЕЛЬСОВЕТ</w:t>
      </w:r>
      <w:r w:rsidRPr="00E65088">
        <w:rPr>
          <w:b/>
        </w:rPr>
        <w:tab/>
        <w:t xml:space="preserve">      </w:t>
      </w:r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ab/>
        <w:t>НОВООРСКОГО РАЙОНА</w:t>
      </w:r>
      <w:r w:rsidRPr="00E65088">
        <w:rPr>
          <w:b/>
        </w:rPr>
        <w:tab/>
      </w:r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 xml:space="preserve">       ОРЕНБУРГСКОЙ ОБЛАСТИ</w:t>
      </w:r>
    </w:p>
    <w:p w:rsidR="00437C92" w:rsidRPr="00E65088" w:rsidRDefault="00437C92" w:rsidP="00437C92">
      <w:pPr>
        <w:pStyle w:val="ad"/>
        <w:rPr>
          <w:b/>
        </w:rPr>
      </w:pPr>
      <w:bookmarkStart w:id="0" w:name="_GoBack"/>
      <w:bookmarkEnd w:id="0"/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 xml:space="preserve">ПОСТАНОВЛЕНИЕ № </w:t>
      </w:r>
      <w:r w:rsidR="00437C92" w:rsidRPr="00E65088">
        <w:rPr>
          <w:b/>
        </w:rPr>
        <w:t>__</w:t>
      </w:r>
    </w:p>
    <w:p w:rsidR="00A22B4A" w:rsidRPr="00E65088" w:rsidRDefault="00A22B4A" w:rsidP="00437C92">
      <w:pPr>
        <w:pStyle w:val="ad"/>
        <w:rPr>
          <w:b/>
        </w:rPr>
      </w:pPr>
      <w:r w:rsidRPr="00E65088">
        <w:rPr>
          <w:b/>
        </w:rPr>
        <w:t>от «</w:t>
      </w:r>
      <w:r w:rsidR="0040635C" w:rsidRPr="00E65088">
        <w:rPr>
          <w:b/>
        </w:rPr>
        <w:t>10</w:t>
      </w:r>
      <w:r w:rsidRPr="00E65088">
        <w:rPr>
          <w:b/>
        </w:rPr>
        <w:t>»  ноября  20</w:t>
      </w:r>
      <w:r w:rsidR="0084068C" w:rsidRPr="00E65088">
        <w:rPr>
          <w:b/>
        </w:rPr>
        <w:t>2</w:t>
      </w:r>
      <w:r w:rsidR="0040635C" w:rsidRPr="00E65088">
        <w:rPr>
          <w:b/>
        </w:rPr>
        <w:t xml:space="preserve">1 </w:t>
      </w:r>
      <w:r w:rsidRPr="00E65088">
        <w:rPr>
          <w:b/>
        </w:rPr>
        <w:t xml:space="preserve">года   </w:t>
      </w:r>
    </w:p>
    <w:p w:rsidR="00437C92" w:rsidRPr="00E65088" w:rsidRDefault="00437C92" w:rsidP="00437C92">
      <w:pPr>
        <w:pStyle w:val="ad"/>
        <w:rPr>
          <w:b/>
        </w:rPr>
      </w:pPr>
    </w:p>
    <w:p w:rsidR="00437C92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>«Об утверждении Методики</w:t>
      </w:r>
    </w:p>
    <w:p w:rsidR="00A22B4A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C92" w:rsidRPr="00E65088">
        <w:rPr>
          <w:rFonts w:ascii="Times New Roman" w:hAnsi="Times New Roman" w:cs="Times New Roman"/>
          <w:b/>
          <w:sz w:val="28"/>
          <w:szCs w:val="28"/>
        </w:rPr>
        <w:t>Ф</w:t>
      </w:r>
      <w:r w:rsidRPr="00E65088">
        <w:rPr>
          <w:rFonts w:ascii="Times New Roman" w:hAnsi="Times New Roman" w:cs="Times New Roman"/>
          <w:b/>
          <w:sz w:val="28"/>
          <w:szCs w:val="28"/>
        </w:rPr>
        <w:t>ормирования</w:t>
      </w:r>
      <w:r w:rsidR="00437C92" w:rsidRPr="00E6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88">
        <w:rPr>
          <w:rFonts w:ascii="Times New Roman" w:hAnsi="Times New Roman" w:cs="Times New Roman"/>
          <w:b/>
          <w:sz w:val="28"/>
          <w:szCs w:val="28"/>
        </w:rPr>
        <w:t>доходов местного бюджета</w:t>
      </w:r>
    </w:p>
    <w:p w:rsidR="00A22B4A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22B4A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proofErr w:type="spellStart"/>
      <w:r w:rsidRPr="00E65088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E650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2B4A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22B4A" w:rsidRPr="00E65088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88">
        <w:rPr>
          <w:rFonts w:ascii="Times New Roman" w:hAnsi="Times New Roman" w:cs="Times New Roman"/>
          <w:b/>
          <w:sz w:val="28"/>
          <w:szCs w:val="28"/>
        </w:rPr>
        <w:t>на 20</w:t>
      </w:r>
      <w:r w:rsidR="00C50156" w:rsidRPr="00E65088">
        <w:rPr>
          <w:rFonts w:ascii="Times New Roman" w:hAnsi="Times New Roman" w:cs="Times New Roman"/>
          <w:b/>
          <w:sz w:val="28"/>
          <w:szCs w:val="28"/>
        </w:rPr>
        <w:t>2</w:t>
      </w:r>
      <w:r w:rsidR="0040635C" w:rsidRPr="00E65088">
        <w:rPr>
          <w:rFonts w:ascii="Times New Roman" w:hAnsi="Times New Roman" w:cs="Times New Roman"/>
          <w:b/>
          <w:sz w:val="28"/>
          <w:szCs w:val="28"/>
        </w:rPr>
        <w:t>2</w:t>
      </w:r>
      <w:r w:rsidRPr="00E65088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40635C" w:rsidRPr="00E65088">
        <w:rPr>
          <w:rFonts w:ascii="Times New Roman" w:hAnsi="Times New Roman" w:cs="Times New Roman"/>
          <w:b/>
          <w:sz w:val="28"/>
          <w:szCs w:val="28"/>
        </w:rPr>
        <w:t>3</w:t>
      </w:r>
      <w:r w:rsidRPr="00E6508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0635C" w:rsidRPr="00E65088">
        <w:rPr>
          <w:rFonts w:ascii="Times New Roman" w:hAnsi="Times New Roman" w:cs="Times New Roman"/>
          <w:b/>
          <w:sz w:val="28"/>
          <w:szCs w:val="28"/>
        </w:rPr>
        <w:t>4</w:t>
      </w:r>
      <w:r w:rsidRPr="00E6508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22B4A" w:rsidRDefault="00A22B4A" w:rsidP="00A2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проекта бюджета муниципального образования Чапаевский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6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635C">
        <w:rPr>
          <w:rFonts w:ascii="Times New Roman" w:hAnsi="Times New Roman" w:cs="Times New Roman"/>
          <w:sz w:val="28"/>
          <w:szCs w:val="28"/>
        </w:rPr>
        <w:t>4 г</w:t>
      </w:r>
      <w:r>
        <w:rPr>
          <w:rFonts w:ascii="Times New Roman" w:hAnsi="Times New Roman" w:cs="Times New Roman"/>
          <w:sz w:val="28"/>
          <w:szCs w:val="28"/>
        </w:rPr>
        <w:t>одов и в соответствии с решением Совета депутатов муниципального образования Чапаевский сельсовет</w:t>
      </w: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20 мая 2011 года № 37 «О принятии  Положения о бюджетном процессе в муниципальном образовании Чапаевский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постановляю:</w:t>
      </w: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Методику формирования доходов местного бюджета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6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приложению 1 к настоящему постановлению.</w:t>
      </w:r>
    </w:p>
    <w:p w:rsidR="00A22B4A" w:rsidRDefault="00A22B4A" w:rsidP="00A22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 распоряжение вступает в силу со дня подписания и подлежит обнародованию. </w:t>
      </w:r>
    </w:p>
    <w:p w:rsidR="00A22B4A" w:rsidRDefault="00A22B4A" w:rsidP="00A22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40635C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2B4A" w:rsidRDefault="00A22B4A" w:rsidP="00A2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  </w:t>
      </w:r>
      <w:proofErr w:type="spellStart"/>
      <w:r w:rsidR="0040635C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487" w:rsidRDefault="00DF2487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C92" w:rsidRDefault="00437C92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№1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2B4A" w:rsidRDefault="00A22B4A" w:rsidP="00A2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635C">
        <w:rPr>
          <w:rFonts w:ascii="Times New Roman" w:hAnsi="Times New Roman" w:cs="Times New Roman"/>
          <w:sz w:val="28"/>
          <w:szCs w:val="28"/>
        </w:rPr>
        <w:t>10</w:t>
      </w:r>
      <w:r w:rsidR="0084068C">
        <w:rPr>
          <w:rFonts w:ascii="Times New Roman" w:hAnsi="Times New Roman" w:cs="Times New Roman"/>
          <w:sz w:val="28"/>
          <w:szCs w:val="28"/>
        </w:rPr>
        <w:t>.11.202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A22B4A" w:rsidRDefault="00A22B4A" w:rsidP="00A22B4A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A22B4A" w:rsidRDefault="00A22B4A" w:rsidP="00A22B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доходов консолидированного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бюджета на 20</w:t>
      </w:r>
      <w:r w:rsidR="00C501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635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40635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0635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A22B4A" w:rsidRDefault="00A22B4A" w:rsidP="00A22B4A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доходов местного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22B4A" w:rsidRDefault="00A22B4A" w:rsidP="00A22B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база местного бюджета  на 20</w:t>
      </w:r>
      <w:r w:rsidR="0084068C">
        <w:rPr>
          <w:rFonts w:ascii="Times New Roman" w:hAnsi="Times New Roman"/>
          <w:sz w:val="28"/>
          <w:szCs w:val="28"/>
        </w:rPr>
        <w:t>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поселения.</w:t>
      </w:r>
    </w:p>
    <w:p w:rsidR="00A22B4A" w:rsidRDefault="00A22B4A" w:rsidP="00A22B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осуществлялось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 потребительских цен, фонд заработной платы)</w:t>
      </w:r>
    </w:p>
    <w:p w:rsidR="00A22B4A" w:rsidRDefault="00A22B4A" w:rsidP="00A22B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в действующее налоговое законодательство изменений дополнений методика прогнозирования отдельных налогов может быть уточнена.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прогнозирования налоговых и неналоговых доходов местного бюджета</w:t>
      </w:r>
    </w:p>
    <w:p w:rsidR="00A22B4A" w:rsidRDefault="00A22B4A" w:rsidP="00A22B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pStyle w:val="ad"/>
        <w:ind w:firstLine="851"/>
        <w:jc w:val="both"/>
      </w:pPr>
      <w:r>
        <w:t xml:space="preserve">Налоговые и неналоговые доходы, подлежащие зачислению в бюджет администрации Чапаевского сельсовета </w:t>
      </w:r>
      <w:proofErr w:type="spellStart"/>
      <w:r>
        <w:t>Новоорского</w:t>
      </w:r>
      <w:proofErr w:type="spellEnd"/>
      <w:r>
        <w:t xml:space="preserve"> района Оренбургской области, определены на основании сведений, представленных главными администраторами (администраторами) доходов, с учетом следующих особенностей.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left="14" w:right="-2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(код 1 01 02000 01 0000 110) рассчитывается как сумма ожидаемого поступления налога в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скорректированного на ежегодные темпы роста фонда заработной платы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(код 1 01 02000 01 0000 110) рассчитывается исходя из прогнозируемого фонда оплаты труда на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за исключением сумм налоговых вычетов, не подлежащих налогообложению. При прогнозировании налога учитывались отчеты Управления Федеральной налоговой службы по Оренбургской области формы № 5-НДФЛ за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сумма налога, подлежащая возврату из бюджета, а также с учетом уров</w:t>
      </w:r>
      <w:r w:rsidR="0084068C">
        <w:rPr>
          <w:rFonts w:ascii="Times New Roman" w:hAnsi="Times New Roman" w:cs="Times New Roman"/>
          <w:sz w:val="28"/>
          <w:szCs w:val="28"/>
        </w:rPr>
        <w:t>ня собираемости по налогу за 202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2B4A" w:rsidRDefault="00A22B4A" w:rsidP="00A22B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налога на доходы физических лиц определяется, как сумма прогнозных поступлений каждого вида налога: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= 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НК РФ;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A22B4A" w:rsidRDefault="00A22B4A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 доходов, полученных физическими лицами в соответствии  со статьёй  228  НК РФ.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НК РФ рассчитываются по следующей формуле: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ожид2018</w:t>
      </w:r>
      <w:r>
        <w:rPr>
          <w:rFonts w:ascii="Times New Roman" w:hAnsi="Times New Roman" w:cs="Times New Roman"/>
          <w:sz w:val="28"/>
          <w:szCs w:val="28"/>
        </w:rPr>
        <w:t>*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ожид2018</w:t>
      </w:r>
      <w:r>
        <w:rPr>
          <w:rFonts w:ascii="Times New Roman" w:hAnsi="Times New Roman" w:cs="Times New Roman"/>
          <w:sz w:val="28"/>
          <w:szCs w:val="28"/>
        </w:rPr>
        <w:t xml:space="preserve"> – ожидаемые поступления за 2018 год налога на доходы физических лиц с доходов, полученных физическими лицами, в соответствии со статьей 228 Налогового Кодекса Российской Федерации;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 ежегодный прогнозируемый коэффициент фонда заработной платы работников предприятий и организаций.</w:t>
      </w:r>
    </w:p>
    <w:p w:rsidR="00A22B4A" w:rsidRDefault="0040635C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за 2022</w:t>
      </w:r>
      <w:r w:rsidR="00A22B4A">
        <w:rPr>
          <w:rFonts w:ascii="Times New Roman" w:hAnsi="Times New Roman" w:cs="Times New Roman"/>
          <w:sz w:val="28"/>
          <w:szCs w:val="28"/>
        </w:rPr>
        <w:t xml:space="preserve">год рассчитываются по следующей формуле: </w:t>
      </w:r>
    </w:p>
    <w:p w:rsidR="00A22B4A" w:rsidRDefault="00A22B4A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ожид2018 </w:t>
      </w:r>
      <w:r>
        <w:rPr>
          <w:rFonts w:ascii="Times New Roman" w:hAnsi="Times New Roman" w:cs="Times New Roman"/>
          <w:sz w:val="28"/>
          <w:szCs w:val="28"/>
        </w:rPr>
        <w:t>=  (Факт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оступление налога за I пол 201</w:t>
      </w:r>
      <w:r w:rsidR="00406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 +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оступление налога за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6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+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оступление за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63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Прогнозируемая 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исходя из поступлений налога в 20</w:t>
      </w:r>
      <w:r w:rsidR="004063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году скорректированного на ежегодные темпы роста фонда заработной платы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годы.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Ожидаемые поступления налога на доходы физических лиц с доходов, полученных от осуществления деятельности физическими лицами,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и налога на доходы физических лиц с доходов, полученных физическими лицами в соответствии со статьей 228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прогнозируются, как сумма фактических поступлений налога за I пол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и фактические поступления налога за III квартал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поступлений налога на 20</w:t>
      </w:r>
      <w:r w:rsidR="0084068C">
        <w:rPr>
          <w:rFonts w:ascii="Times New Roman" w:hAnsi="Times New Roman"/>
          <w:sz w:val="28"/>
          <w:szCs w:val="28"/>
        </w:rPr>
        <w:t>2</w:t>
      </w:r>
      <w:r w:rsidR="004063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прогнозируются, как  фактические поступления налога за I пол </w:t>
      </w:r>
      <w:r w:rsidR="0040635C">
        <w:rPr>
          <w:rFonts w:ascii="Times New Roman" w:hAnsi="Times New Roman"/>
          <w:sz w:val="28"/>
          <w:szCs w:val="28"/>
        </w:rPr>
        <w:t>2020г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Прогнозируемая 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исходя из поступлений налога в 20</w:t>
      </w:r>
      <w:r w:rsidR="0084068C">
        <w:rPr>
          <w:rFonts w:ascii="Times New Roman" w:hAnsi="Times New Roman"/>
          <w:sz w:val="28"/>
          <w:szCs w:val="28"/>
        </w:rPr>
        <w:t>2</w:t>
      </w:r>
      <w:r w:rsidR="004063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году скорректированного на ежегодные темпы роста фонда заработной платы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годы.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полученных физическими лицами в соответствии  со статьёй  228  НК РФ (НДФЛ 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прогнозируются, как сумма фактических поступлений за I пол 20</w:t>
      </w:r>
      <w:r w:rsidR="004063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и фактических поступлений за III квартал 20</w:t>
      </w:r>
      <w:r w:rsidR="004063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поступлений налога на 20</w:t>
      </w:r>
      <w:r w:rsidR="0084068C">
        <w:rPr>
          <w:rFonts w:ascii="Times New Roman" w:hAnsi="Times New Roman"/>
          <w:sz w:val="28"/>
          <w:szCs w:val="28"/>
        </w:rPr>
        <w:t>2</w:t>
      </w:r>
      <w:r w:rsidR="004063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прогнозируются, как  фактические поступления налога за I пол 20</w:t>
      </w:r>
      <w:r w:rsidR="004063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Прогнозируемая 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</w:t>
      </w:r>
      <w:r w:rsidR="0084068C">
        <w:rPr>
          <w:rFonts w:ascii="Times New Roman" w:hAnsi="Times New Roman"/>
          <w:sz w:val="28"/>
          <w:szCs w:val="28"/>
        </w:rPr>
        <w:t>ходя из поступлений налога в 202</w:t>
      </w:r>
      <w:r w:rsidR="004063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скорректированного на ежегодные темпы роста фонда заработной платы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годы.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(ЕСХН) (код 1 05 03000 01 0000 110)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поступлений единого сельскохозяйственного налога;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индекс-дефлятор сельского хозяйства на соответствующий год.</w:t>
      </w:r>
    </w:p>
    <w:p w:rsidR="00A22B4A" w:rsidRDefault="00A22B4A" w:rsidP="00A22B4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 20</w:t>
      </w:r>
      <w:r w:rsidR="004063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 единого сельскохозяйственного налога (ЕСХН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пост 2018</w:t>
      </w:r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A22B4A" w:rsidRDefault="00A22B4A" w:rsidP="00A22B4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пост 2018</w:t>
      </w:r>
      <w:r>
        <w:rPr>
          <w:rFonts w:ascii="Times New Roman" w:hAnsi="Times New Roman" w:cs="Times New Roman"/>
          <w:sz w:val="28"/>
          <w:szCs w:val="28"/>
        </w:rPr>
        <w:t xml:space="preserve"> = 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НН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фактические поступления налога за 1 полугодие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– фактические поступления налога за 3 квартал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A22B4A" w:rsidRDefault="00A22B4A" w:rsidP="00A22B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– фактические поступления налога 4 квартал 201</w:t>
      </w:r>
      <w:r w:rsidR="00406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2B4A" w:rsidRDefault="00C50156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202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 w:rsidR="00A22B4A">
        <w:rPr>
          <w:rFonts w:ascii="Times New Roman" w:hAnsi="Times New Roman" w:cs="Times New Roman"/>
          <w:sz w:val="28"/>
          <w:szCs w:val="28"/>
        </w:rPr>
        <w:t>год прогнозируется исходя из расчета ожидаемой налогооблагаемой базы на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 w:rsidR="00A22B4A">
        <w:rPr>
          <w:rFonts w:ascii="Times New Roman" w:hAnsi="Times New Roman" w:cs="Times New Roman"/>
          <w:sz w:val="28"/>
          <w:szCs w:val="28"/>
        </w:rPr>
        <w:t xml:space="preserve"> год с учетом индекса-дефлятора сельского хозяйства.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202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годы прогнозируется исходя из расчета налогооблагаемой базы на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скорректированного на индекс-дефлятор сельского хозяйства, на соответствующий год.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68C">
        <w:rPr>
          <w:rFonts w:ascii="Times New Roman" w:hAnsi="Times New Roman" w:cs="Times New Roman"/>
          <w:sz w:val="28"/>
          <w:szCs w:val="28"/>
        </w:rPr>
        <w:t>202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 рассчитывается по следующей формуле: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 = Ф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 01.07.2018г</w:t>
      </w:r>
      <w:r>
        <w:rPr>
          <w:rFonts w:ascii="Times New Roman" w:hAnsi="Times New Roman" w:cs="Times New Roman"/>
          <w:sz w:val="28"/>
          <w:szCs w:val="28"/>
        </w:rPr>
        <w:t xml:space="preserve"> + С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мес. </w:t>
      </w:r>
      <w:r>
        <w:rPr>
          <w:rFonts w:ascii="Times New Roman" w:hAnsi="Times New Roman" w:cs="Times New Roman"/>
          <w:sz w:val="28"/>
          <w:szCs w:val="28"/>
        </w:rPr>
        <w:t>* 6, где:</w:t>
      </w: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государственная пошлина;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 01.07.2018г</w:t>
      </w:r>
      <w:r>
        <w:rPr>
          <w:rFonts w:ascii="Times New Roman" w:hAnsi="Times New Roman" w:cs="Times New Roman"/>
          <w:sz w:val="28"/>
          <w:szCs w:val="28"/>
        </w:rPr>
        <w:t xml:space="preserve"> – сумма фактических поступлений государственной пошлины по состоянию на 01.07.20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среднемесяч</w:t>
      </w:r>
      <w:r w:rsidR="0040635C">
        <w:rPr>
          <w:rFonts w:ascii="Times New Roman" w:hAnsi="Times New Roman" w:cs="Times New Roman"/>
          <w:sz w:val="28"/>
          <w:szCs w:val="28"/>
        </w:rPr>
        <w:t>ное поступление за 6 месяцев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поступлений государственной пошлины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на уровне 20</w:t>
      </w:r>
      <w:r w:rsidR="0040635C">
        <w:rPr>
          <w:rFonts w:ascii="Times New Roman" w:hAnsi="Times New Roman" w:cs="Times New Roman"/>
          <w:sz w:val="28"/>
          <w:szCs w:val="28"/>
        </w:rPr>
        <w:t>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за государственную регистрацию прав, ограничений (обременений) прав на недвижимое имущество и сделок с ними,  за выдачу и обмен паспорта гражданина Российской Федерации, за приобретение гражданства, за регистрацию транспортных средств, за государственную регистрацию юридических и физических лиц в качестве ИП, и изменения в учредительные документы планируется на основании данных Муниципального автономного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«Многофункциональный центр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прогноза поступления налогов в бюджет администрации Чапаевского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применяемых при определении величины налогового потенциала муниципальных образований</w:t>
      </w: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B4A" w:rsidRDefault="00A22B4A" w:rsidP="00A22B4A">
      <w:pPr>
        <w:spacing w:after="0" w:line="240" w:lineRule="auto"/>
        <w:ind w:left="14" w:right="-2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(код 1 01 02000 01 0000 110) рассчитывается как сумма ожидаемого поступления налога в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скорректированного на ежегодные темпы роста фонда заработной платы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(код 1 01 02000 01 0000 110) рассчитывается исходя из прогнозируемого фонда оплаты труда на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за исключением сумм налоговых вычетов, не подлежащих налогообложению. При прогнозировании налога учитывались отчеты Управления Федеральной налоговой службы по Оренбургской области формы № 5-НДФЛ за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а также сумма налога, подлежащая возврату из бюджета, а также с учетом уровня собираемости по налогу за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налога на доходы физических лиц определяется, как сумма прогнозных поступлений каждого вида налога: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= 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Налог на доходы физических лиц с доходов, источником которых является налоговый агент, за исключением доходов,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исчисление и уплата налога осуществляются в соответствии со статьями 227,227.1и 228 НК РФ;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A22B4A" w:rsidRDefault="00A22B4A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 доходов, полученных физическими лицами в соответствии  со статьёй  228  НК РФ.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НК РФ рассчитываются по следующей формуле: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ожид2018</w:t>
      </w:r>
      <w:r>
        <w:rPr>
          <w:rFonts w:ascii="Times New Roman" w:hAnsi="Times New Roman" w:cs="Times New Roman"/>
          <w:sz w:val="28"/>
          <w:szCs w:val="28"/>
        </w:rPr>
        <w:t>*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ожид2018</w:t>
      </w:r>
      <w:r>
        <w:rPr>
          <w:rFonts w:ascii="Times New Roman" w:hAnsi="Times New Roman" w:cs="Times New Roman"/>
          <w:sz w:val="28"/>
          <w:szCs w:val="28"/>
        </w:rPr>
        <w:t xml:space="preserve"> – ожидаемые поступления за 201</w:t>
      </w:r>
      <w:r w:rsidR="008406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налога на доходы физических лиц с доходов, полученных физическими лицами, в соответствии со статьей 228 Налогового Кодекса Российской Федерации;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 коэффициент фонда заработной платы работников предприятий и организаций на соответствующий год.</w:t>
      </w:r>
    </w:p>
    <w:p w:rsidR="00A22B4A" w:rsidRDefault="0084068C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 2020</w:t>
      </w:r>
      <w:r w:rsidR="00A22B4A">
        <w:rPr>
          <w:rFonts w:ascii="Times New Roman" w:hAnsi="Times New Roman" w:cs="Times New Roman"/>
          <w:sz w:val="28"/>
          <w:szCs w:val="28"/>
        </w:rPr>
        <w:t xml:space="preserve">год рассчитываются по следующей формуле: </w:t>
      </w:r>
    </w:p>
    <w:p w:rsidR="00A22B4A" w:rsidRDefault="00A22B4A" w:rsidP="00A22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ожид2018 </w:t>
      </w:r>
      <w:r>
        <w:rPr>
          <w:rFonts w:ascii="Times New Roman" w:hAnsi="Times New Roman" w:cs="Times New Roman"/>
          <w:sz w:val="28"/>
          <w:szCs w:val="28"/>
        </w:rPr>
        <w:t>=  (Факт.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налога за I пол 201</w:t>
      </w:r>
      <w:r w:rsidR="00406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+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поступлений за II пол 201</w:t>
      </w:r>
      <w:r w:rsidR="004063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 (коэффициент учитываемый собираемость налога за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поступлений за II пол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 = (Фактические поступления за август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+ Фактические поступления за сентябрь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/ 2)*6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Прогнозируемая 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исходя из ожидаемых поступлений налога на 20</w:t>
      </w:r>
      <w:r w:rsidR="004063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скорректированного на ежегодные темпы роста фонда заработной платы на 202</w:t>
      </w:r>
      <w:r w:rsidR="008406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годы.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Ожидаемые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налога на доходы физических лиц с доходов, полученных физическими лицами в соответствии со статьей 228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прогнозируются, как сумма фактических поступлений налога за I пол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и прогноз поступлений за II пол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Прогнозируемая </w:t>
      </w:r>
      <w:r w:rsidR="00C50156">
        <w:rPr>
          <w:rFonts w:ascii="Times New Roman" w:hAnsi="Times New Roman"/>
          <w:sz w:val="28"/>
          <w:szCs w:val="28"/>
        </w:rPr>
        <w:t>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исходя из прогнозной суммы поступлений налога скорректированного на ежегодные темпы роста фонда заработной платы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годы.</w:t>
      </w: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полученных физическими лицами в соответствии  со статьёй  228  НК РФ (НДФЛ 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прогнозируются, как сумма фактических поступлений за I пол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и п</w:t>
      </w:r>
      <w:r w:rsidR="0084068C">
        <w:rPr>
          <w:rFonts w:ascii="Times New Roman" w:hAnsi="Times New Roman" w:cs="Times New Roman"/>
          <w:sz w:val="28"/>
          <w:szCs w:val="28"/>
        </w:rPr>
        <w:t>рогноз поступлений за II пол 202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Прогнозируемая сумма поступлений налога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определяется исходя из прогнозной суммы поступлений налога скорректированного на ежегодные темпы роста фонда заработной платы на 202</w:t>
      </w:r>
      <w:r w:rsidR="0040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063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годы.</w:t>
      </w:r>
    </w:p>
    <w:p w:rsidR="00A22B4A" w:rsidRDefault="00A22B4A" w:rsidP="00A22B4A">
      <w:pPr>
        <w:pStyle w:val="a4"/>
        <w:spacing w:after="0"/>
        <w:ind w:left="14" w:right="-2" w:firstLine="709"/>
        <w:jc w:val="both"/>
        <w:rPr>
          <w:rFonts w:ascii="Times New Roman" w:hAnsi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(ЕСХН) (код 1 05 03000 01 0000 110)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И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поступлений единого сельскохозяйственного налога;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индекс-дефлятор сельского хозяйства на соответствующий год.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поступления на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единого сельскохозяйственного налога (ЕСХН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пост 2018</w:t>
      </w:r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пост 20</w:t>
      </w:r>
      <w:r w:rsidR="0040635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= 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A22B4A" w:rsidRDefault="00A22B4A" w:rsidP="00A22B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– сумма начислений налога за 1 полугодие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(из программного продукта http://nalog-mf.orb.ru);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– сумма начислений налога за II полугодие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(из программного продукта http://nalog-mf.orb.ru).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прогнозируется исходя из расч</w:t>
      </w:r>
      <w:r w:rsidR="0084068C">
        <w:rPr>
          <w:rFonts w:ascii="Times New Roman" w:hAnsi="Times New Roman" w:cs="Times New Roman"/>
          <w:sz w:val="28"/>
          <w:szCs w:val="28"/>
        </w:rPr>
        <w:t>ета ожидаемых поступлений на 202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единого сельскохозяйственного налога скорректированного на индекс-дефлятор сельского хозяйства, на соответствующий год.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(Нимф) используются: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отчета по форме № 1-НМ «Начисление и поступление налогов, сборов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консолидированный бюджет Российской Федерации» (далее - отчет № 1-НМ);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динамики погашения задолженности согласно данным отчета по форме № 4-НМ «Отчет о задолженности по налогам и сборам, пеням и налоговым санкциям в бюджетную систему Российской Федерации» (далее - отчет № 4-НМ);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база и сумма налога, подлежащая уплате в бюджет, согласно отчету № 5-МН «Отчет о налоговой базе и структуре начислений по местным налогам» (далее - отчет № 5-МН), сложившаяся за отчетный период;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32 «Налог на имущество физических лиц» Налогового кодекса Российской Федерации и другие источники.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Налогового кодекса Российской Федерации.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собираемости и других показателей, а так же по методу индексации с применением коэффициента-дефлятора по налогу на имущество физических лиц.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налога на имущество физических лиц только по инвентаризационной стоимости: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Нимф = Суп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(+/-) F,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Нимф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тыс. рублей (строка 3500 раздела 3 отчета № 5-МН);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 (средний за три предыдущих года).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по отчету № 1-НМ (строка 1520) на сумму начисленного налога по отчету № 5-МН (строка 3500 раздела 3), умноженное на 100 процентов;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 же другие факторы, тыс. рублей.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налога на имущество физических лиц в переходный период:</w:t>
      </w:r>
    </w:p>
    <w:p w:rsidR="00A22B4A" w:rsidRDefault="00A22B4A" w:rsidP="00A22B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сумма налога, исчисленная исходя из кадастровой стоимости имущества, больше суммы налога, исчисленной исходя из инвентаризационной стоимости имущества.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Нимф = ((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Нин)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Кперех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Нин)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Нимф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A22B4A" w:rsidRDefault="00A22B4A" w:rsidP="00A22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сумма налога, исчисленная исходя из кадастровой стоимости имущества;</w:t>
      </w:r>
    </w:p>
    <w:p w:rsidR="00A22B4A" w:rsidRDefault="00A22B4A" w:rsidP="00A22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Нин - </w:t>
      </w:r>
      <w:r>
        <w:rPr>
          <w:rFonts w:ascii="Times New Roman" w:hAnsi="Times New Roman" w:cs="Times New Roman"/>
          <w:sz w:val="28"/>
          <w:szCs w:val="28"/>
        </w:rPr>
        <w:t>сумма налога, исчисленная исходя из инвентаризационной стоимости имущества. Данный показатель берется из отчета 5-МН за 2016 год;</w:t>
      </w:r>
    </w:p>
    <w:p w:rsidR="00A22B4A" w:rsidRDefault="00A22B4A" w:rsidP="00A22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Кперех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коэффициент, который изменяется ежегодно в течение переходного периода.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– применительно к первому налоговому периоду;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 – применительно ко второму налоговому периоду;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 – применительно к третьему налоговому периоду;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четвертого налогового периода исчисление суммы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без учета коэффициента переходного периода.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1,1.</w:t>
      </w:r>
      <w:proofErr w:type="gramEnd"/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 (средний за три предыдущих года либо за последний отчетный период).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среднее за 3 предыдущих года (либо за последний отчетный период) значение от деления поступлений по отчету № 1-НМ (строка 1520) на сумму начисленного налога по отчету № 5-МН (строка 3500 раздела 3), умноженное на 100 процентов.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 – 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(строка 3411 раздел 3 по отчету № 5-МН); </w:t>
      </w:r>
      <w:proofErr w:type="gramEnd"/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расчетная средняя ставка по кадастровой стоимости объекта налогообложения за отчетный период, %.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2B4A" w:rsidRDefault="00A22B4A" w:rsidP="00A22B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сумма налога, исчисленная исходя из кадастровой стоимости имущества, меньше суммы налога, исчисленной исходя из инвентаризационной стоимости имущества.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Нимф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/100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налога на имущество физических лиц по истечению переходного периода: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Нимф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/100 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B4A" w:rsidRDefault="00A22B4A" w:rsidP="00A2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 – 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(строка 3411 раздел 3 по отчету № 5-МН); </w:t>
      </w:r>
      <w:proofErr w:type="gramEnd"/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Sкад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расчетная средняя ставка по кадастровой стоимости объекта налогообложения за отчетный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 (средний за три предыдущих года либо за последний отчетный период).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среднее за 3 предыдущих года (либо за последний отчетный период) значение от деления поступлений по отчету № 1-НМ (строка 1520) на сумму начисленного налога по отчету № 5-МН (строка 3500 раздела 3), умноженное на 100 процентов.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Оренбургской области по нормативам, установленным в соответствии со статьями Бюджетного кодекса Российской Федерации.</w:t>
      </w:r>
    </w:p>
    <w:p w:rsidR="00A22B4A" w:rsidRDefault="00A22B4A" w:rsidP="00A22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прогноз поступлений определяется с учетом данных, представленных территориальными налоговыми органами.</w:t>
      </w:r>
    </w:p>
    <w:p w:rsidR="00A22B4A" w:rsidRDefault="00A22B4A" w:rsidP="00A22B4A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на 202</w:t>
      </w:r>
      <w:r w:rsidR="008406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и 202</w:t>
      </w:r>
      <w:r w:rsidR="008406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прогнозируется на уровне 20</w:t>
      </w:r>
      <w:r w:rsidR="008406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22B4A" w:rsidRDefault="00A22B4A" w:rsidP="00A22B4A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прогноз поступлений рассчитывается по следующей формуле: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A22B4A" w:rsidRDefault="00A22B4A" w:rsidP="00A22B4A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</w:t>
      </w:r>
      <w:r w:rsidR="008406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202</w:t>
      </w:r>
      <w:r w:rsidR="00406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прогнозируется на уровне 20</w:t>
      </w:r>
      <w:r w:rsidR="0084068C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A22B4A" w:rsidRDefault="00A22B4A" w:rsidP="00A22B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х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B4A" w:rsidRDefault="00A22B4A" w:rsidP="00A22B4A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 w:rsidR="0040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A22B4A" w:rsidRDefault="00A22B4A" w:rsidP="00A22B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взимаемый по ставкам, установленным в соответствии с подпунктом 1 пункта 1 статьи 394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по следующей формуле: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НБ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К, где: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A22B4A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A22B4A" w:rsidRDefault="00A22B4A" w:rsidP="00A22B4A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 – ожидаемые поступления налога за 20</w:t>
      </w:r>
      <w:r w:rsidR="008406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год, рассчитывается как фактические поступления налога с учетом роста;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ставка, установленная в соответствии со статьей 394 Налогового кодекса Российской Федерации.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22B4A" w:rsidRDefault="00A22B4A" w:rsidP="00A2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202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на уровне 20</w:t>
      </w:r>
      <w:r w:rsidR="00C50156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22B4A" w:rsidRDefault="005433D4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4A" w:rsidRDefault="00A22B4A" w:rsidP="0047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2B4A" w:rsidSect="00F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359D8"/>
    <w:multiLevelType w:val="hybridMultilevel"/>
    <w:tmpl w:val="BCD82BEC"/>
    <w:lvl w:ilvl="0" w:tplc="442CCE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809873"/>
    <w:multiLevelType w:val="multilevel"/>
    <w:tmpl w:val="56828C16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2FE"/>
    <w:rsid w:val="00005AFC"/>
    <w:rsid w:val="00050DA5"/>
    <w:rsid w:val="00055B12"/>
    <w:rsid w:val="00097983"/>
    <w:rsid w:val="00097F78"/>
    <w:rsid w:val="000A5BBC"/>
    <w:rsid w:val="000C6FC6"/>
    <w:rsid w:val="000E73AF"/>
    <w:rsid w:val="000F1296"/>
    <w:rsid w:val="001159C8"/>
    <w:rsid w:val="00135981"/>
    <w:rsid w:val="00141E46"/>
    <w:rsid w:val="0015458D"/>
    <w:rsid w:val="00170D52"/>
    <w:rsid w:val="001A39A1"/>
    <w:rsid w:val="001A52C1"/>
    <w:rsid w:val="001C409F"/>
    <w:rsid w:val="001D494A"/>
    <w:rsid w:val="001E04D7"/>
    <w:rsid w:val="001F3589"/>
    <w:rsid w:val="001F5AA5"/>
    <w:rsid w:val="002137BF"/>
    <w:rsid w:val="00221FD4"/>
    <w:rsid w:val="00272D48"/>
    <w:rsid w:val="0027494D"/>
    <w:rsid w:val="002B1DA9"/>
    <w:rsid w:val="002E49CA"/>
    <w:rsid w:val="002F580D"/>
    <w:rsid w:val="003152FC"/>
    <w:rsid w:val="00346F2A"/>
    <w:rsid w:val="00352D51"/>
    <w:rsid w:val="00380D3D"/>
    <w:rsid w:val="0039128C"/>
    <w:rsid w:val="003A3613"/>
    <w:rsid w:val="003B0595"/>
    <w:rsid w:val="003D7787"/>
    <w:rsid w:val="0040635C"/>
    <w:rsid w:val="0043300F"/>
    <w:rsid w:val="00437C92"/>
    <w:rsid w:val="00441BD0"/>
    <w:rsid w:val="00477307"/>
    <w:rsid w:val="004A1A12"/>
    <w:rsid w:val="004C6AFF"/>
    <w:rsid w:val="004D191B"/>
    <w:rsid w:val="004E22F2"/>
    <w:rsid w:val="004F432C"/>
    <w:rsid w:val="00504A36"/>
    <w:rsid w:val="0051104A"/>
    <w:rsid w:val="005433D4"/>
    <w:rsid w:val="00557A3E"/>
    <w:rsid w:val="005916E5"/>
    <w:rsid w:val="005B0AD9"/>
    <w:rsid w:val="005E2133"/>
    <w:rsid w:val="005E3F48"/>
    <w:rsid w:val="005F61FC"/>
    <w:rsid w:val="0060172A"/>
    <w:rsid w:val="006055DF"/>
    <w:rsid w:val="00630D2B"/>
    <w:rsid w:val="006317A9"/>
    <w:rsid w:val="00642C44"/>
    <w:rsid w:val="00653E0D"/>
    <w:rsid w:val="006670B2"/>
    <w:rsid w:val="00680161"/>
    <w:rsid w:val="006B1AD5"/>
    <w:rsid w:val="006B1EB4"/>
    <w:rsid w:val="006C378E"/>
    <w:rsid w:val="006D717B"/>
    <w:rsid w:val="006D7D8A"/>
    <w:rsid w:val="006E7CE7"/>
    <w:rsid w:val="006F0A8E"/>
    <w:rsid w:val="00704205"/>
    <w:rsid w:val="00722597"/>
    <w:rsid w:val="0074521A"/>
    <w:rsid w:val="00765891"/>
    <w:rsid w:val="00772BFC"/>
    <w:rsid w:val="00776E9C"/>
    <w:rsid w:val="00787AC4"/>
    <w:rsid w:val="00795CFC"/>
    <w:rsid w:val="007A6040"/>
    <w:rsid w:val="007B6919"/>
    <w:rsid w:val="007D4580"/>
    <w:rsid w:val="007F6C2C"/>
    <w:rsid w:val="008123E0"/>
    <w:rsid w:val="0084068C"/>
    <w:rsid w:val="00851836"/>
    <w:rsid w:val="0085250C"/>
    <w:rsid w:val="00887225"/>
    <w:rsid w:val="00897B6A"/>
    <w:rsid w:val="008D7FEC"/>
    <w:rsid w:val="008E7EAC"/>
    <w:rsid w:val="009360C7"/>
    <w:rsid w:val="00937159"/>
    <w:rsid w:val="00943B8C"/>
    <w:rsid w:val="009B17D7"/>
    <w:rsid w:val="009C3042"/>
    <w:rsid w:val="009E4FF7"/>
    <w:rsid w:val="009E6128"/>
    <w:rsid w:val="00A111DB"/>
    <w:rsid w:val="00A22B4A"/>
    <w:rsid w:val="00A52138"/>
    <w:rsid w:val="00A72B81"/>
    <w:rsid w:val="00AB1373"/>
    <w:rsid w:val="00AC1C48"/>
    <w:rsid w:val="00AC615F"/>
    <w:rsid w:val="00AF7AF0"/>
    <w:rsid w:val="00B00298"/>
    <w:rsid w:val="00B37ADF"/>
    <w:rsid w:val="00B47C37"/>
    <w:rsid w:val="00B83CDE"/>
    <w:rsid w:val="00B92D6D"/>
    <w:rsid w:val="00BA694E"/>
    <w:rsid w:val="00BA746C"/>
    <w:rsid w:val="00BD14B2"/>
    <w:rsid w:val="00BF5F9A"/>
    <w:rsid w:val="00C21F97"/>
    <w:rsid w:val="00C50156"/>
    <w:rsid w:val="00C92171"/>
    <w:rsid w:val="00CA6837"/>
    <w:rsid w:val="00CC5E27"/>
    <w:rsid w:val="00CE1DD2"/>
    <w:rsid w:val="00CE25F8"/>
    <w:rsid w:val="00CE7BAF"/>
    <w:rsid w:val="00CF121B"/>
    <w:rsid w:val="00D12DBA"/>
    <w:rsid w:val="00D30315"/>
    <w:rsid w:val="00D438BA"/>
    <w:rsid w:val="00D612FE"/>
    <w:rsid w:val="00D64C0D"/>
    <w:rsid w:val="00D73607"/>
    <w:rsid w:val="00D7675D"/>
    <w:rsid w:val="00D85850"/>
    <w:rsid w:val="00D9345B"/>
    <w:rsid w:val="00DB6946"/>
    <w:rsid w:val="00DC1400"/>
    <w:rsid w:val="00DD1F28"/>
    <w:rsid w:val="00DF14D4"/>
    <w:rsid w:val="00DF2487"/>
    <w:rsid w:val="00E31278"/>
    <w:rsid w:val="00E47EC7"/>
    <w:rsid w:val="00E561B7"/>
    <w:rsid w:val="00E65088"/>
    <w:rsid w:val="00EA0A63"/>
    <w:rsid w:val="00F0789C"/>
    <w:rsid w:val="00F151A7"/>
    <w:rsid w:val="00F215C3"/>
    <w:rsid w:val="00F3073D"/>
    <w:rsid w:val="00F412EC"/>
    <w:rsid w:val="00F50AC4"/>
    <w:rsid w:val="00F51C58"/>
    <w:rsid w:val="00F55B0B"/>
    <w:rsid w:val="00F66891"/>
    <w:rsid w:val="00F87514"/>
    <w:rsid w:val="00FA01B6"/>
    <w:rsid w:val="00FC4248"/>
    <w:rsid w:val="00FF5C7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307"/>
    <w:pPr>
      <w:ind w:left="720"/>
    </w:pPr>
  </w:style>
  <w:style w:type="paragraph" w:customStyle="1" w:styleId="ConsPlusNormal">
    <w:name w:val="ConsPlusNormal"/>
    <w:uiPriority w:val="99"/>
    <w:rsid w:val="00B47C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FA01B6"/>
    <w:pPr>
      <w:spacing w:after="24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A52138"/>
    <w:pPr>
      <w:ind w:left="720"/>
    </w:pPr>
    <w:rPr>
      <w:rFonts w:cs="Times New Roman"/>
      <w:sz w:val="28"/>
      <w:szCs w:val="28"/>
    </w:rPr>
  </w:style>
  <w:style w:type="paragraph" w:customStyle="1" w:styleId="10">
    <w:name w:val="Без интервала1"/>
    <w:uiPriority w:val="99"/>
    <w:rsid w:val="00A52138"/>
    <w:rPr>
      <w:sz w:val="28"/>
      <w:szCs w:val="28"/>
    </w:rPr>
  </w:style>
  <w:style w:type="table" w:styleId="a5">
    <w:name w:val="Table Grid"/>
    <w:basedOn w:val="a1"/>
    <w:uiPriority w:val="99"/>
    <w:locked/>
    <w:rsid w:val="00A521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521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21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HeaderChar">
    <w:name w:val="Header Char"/>
    <w:basedOn w:val="a0"/>
    <w:uiPriority w:val="99"/>
    <w:semiHidden/>
    <w:locked/>
    <w:rsid w:val="006B1AD5"/>
  </w:style>
  <w:style w:type="character" w:customStyle="1" w:styleId="a7">
    <w:name w:val="Верхний колонтитул Знак"/>
    <w:link w:val="a6"/>
    <w:uiPriority w:val="99"/>
    <w:locked/>
    <w:rsid w:val="00A52138"/>
    <w:rPr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semiHidden/>
    <w:rsid w:val="00A521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FooterChar">
    <w:name w:val="Footer Char"/>
    <w:basedOn w:val="a0"/>
    <w:uiPriority w:val="99"/>
    <w:semiHidden/>
    <w:locked/>
    <w:rsid w:val="006B1AD5"/>
  </w:style>
  <w:style w:type="character" w:customStyle="1" w:styleId="a9">
    <w:name w:val="Нижний колонтитул Знак"/>
    <w:link w:val="a8"/>
    <w:uiPriority w:val="99"/>
    <w:semiHidden/>
    <w:locked/>
    <w:rsid w:val="00A52138"/>
    <w:rPr>
      <w:sz w:val="22"/>
      <w:szCs w:val="22"/>
      <w:lang w:val="ru-RU" w:eastAsia="ru-RU"/>
    </w:rPr>
  </w:style>
  <w:style w:type="character" w:styleId="aa">
    <w:name w:val="Strong"/>
    <w:uiPriority w:val="99"/>
    <w:qFormat/>
    <w:locked/>
    <w:rsid w:val="00A52138"/>
    <w:rPr>
      <w:b/>
      <w:bCs/>
    </w:rPr>
  </w:style>
  <w:style w:type="paragraph" w:customStyle="1" w:styleId="ab">
    <w:name w:val="ЭЭГ"/>
    <w:basedOn w:val="a"/>
    <w:uiPriority w:val="99"/>
    <w:rsid w:val="00A52138"/>
    <w:pPr>
      <w:spacing w:after="0" w:line="36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52138"/>
    <w:rPr>
      <w:sz w:val="12"/>
      <w:szCs w:val="12"/>
      <w:shd w:val="clear" w:color="auto" w:fill="FFFFFF"/>
    </w:rPr>
  </w:style>
  <w:style w:type="character" w:customStyle="1" w:styleId="ac">
    <w:name w:val="Основной текст_"/>
    <w:link w:val="11"/>
    <w:uiPriority w:val="99"/>
    <w:locked/>
    <w:rsid w:val="00A52138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2138"/>
    <w:pPr>
      <w:shd w:val="clear" w:color="auto" w:fill="FFFFFF"/>
      <w:spacing w:after="0" w:line="141" w:lineRule="exact"/>
      <w:jc w:val="center"/>
    </w:pPr>
    <w:rPr>
      <w:rFonts w:cs="Times New Roman"/>
      <w:noProof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52138"/>
    <w:pPr>
      <w:shd w:val="clear" w:color="auto" w:fill="FFFFFF"/>
      <w:spacing w:after="180" w:line="216" w:lineRule="exact"/>
      <w:ind w:hanging="180"/>
    </w:pPr>
    <w:rPr>
      <w:rFonts w:cs="Times New Roman"/>
      <w:noProof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A52138"/>
    <w:pPr>
      <w:shd w:val="clear" w:color="auto" w:fill="FFFFFF"/>
      <w:spacing w:after="0" w:line="211" w:lineRule="exact"/>
      <w:jc w:val="center"/>
    </w:pPr>
    <w:rPr>
      <w:rFonts w:cs="Times New Roman"/>
      <w:sz w:val="19"/>
      <w:szCs w:val="19"/>
    </w:rPr>
  </w:style>
  <w:style w:type="character" w:customStyle="1" w:styleId="FontStyle54">
    <w:name w:val="Font Style54"/>
    <w:uiPriority w:val="99"/>
    <w:rsid w:val="00A52138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No Spacing"/>
    <w:uiPriority w:val="99"/>
    <w:qFormat/>
    <w:rsid w:val="00A22B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A22B4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469A-5D13-419B-9C91-72224A1E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</dc:creator>
  <cp:keywords/>
  <dc:description/>
  <cp:lastModifiedBy>Chapaevskii_ss</cp:lastModifiedBy>
  <cp:revision>88</cp:revision>
  <cp:lastPrinted>2020-11-17T10:09:00Z</cp:lastPrinted>
  <dcterms:created xsi:type="dcterms:W3CDTF">2014-10-22T09:40:00Z</dcterms:created>
  <dcterms:modified xsi:type="dcterms:W3CDTF">2022-03-17T09:14:00Z</dcterms:modified>
</cp:coreProperties>
</file>